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o"/>
        <w:tblW w:w="0" w:type="auto"/>
        <w:jc w:val="center"/>
        <w:tblInd w:w="108" w:type="dxa"/>
        <w:tblLook w:val="01E0"/>
      </w:tblPr>
      <w:tblGrid>
        <w:gridCol w:w="9104"/>
      </w:tblGrid>
      <w:tr w:rsidR="00FE322B" w:rsidRPr="00FE322B" w:rsidTr="00FE322B">
        <w:trPr>
          <w:jc w:val="center"/>
        </w:trPr>
        <w:tc>
          <w:tcPr>
            <w:tcW w:w="9104" w:type="dxa"/>
            <w:hideMark/>
          </w:tcPr>
          <w:tbl>
            <w:tblPr>
              <w:tblStyle w:val="NormalTablo"/>
              <w:tblW w:w="8789" w:type="dxa"/>
              <w:jc w:val="center"/>
              <w:tblInd w:w="0" w:type="dxa"/>
              <w:tblLook w:val="01E0"/>
            </w:tblPr>
            <w:tblGrid>
              <w:gridCol w:w="2867"/>
              <w:gridCol w:w="3096"/>
              <w:gridCol w:w="2843"/>
            </w:tblGrid>
            <w:tr w:rsidR="00FE322B" w:rsidRPr="00FE322B">
              <w:trPr>
                <w:trHeight w:val="317"/>
                <w:jc w:val="center"/>
              </w:trPr>
              <w:tc>
                <w:tcPr>
                  <w:tcW w:w="2931" w:type="dxa"/>
                  <w:tcBorders>
                    <w:top w:val="nil"/>
                    <w:left w:val="nil"/>
                    <w:bottom w:val="single" w:sz="4" w:space="0" w:color="660066"/>
                    <w:right w:val="nil"/>
                  </w:tcBorders>
                  <w:vAlign w:val="center"/>
                  <w:hideMark/>
                </w:tcPr>
                <w:p w:rsidR="00FE322B" w:rsidRPr="00FE322B" w:rsidRDefault="00FE322B" w:rsidP="00FE322B">
                  <w:pPr>
                    <w:tabs>
                      <w:tab w:val="left" w:pos="567"/>
                      <w:tab w:val="center" w:pos="994"/>
                      <w:tab w:val="center" w:pos="3543"/>
                      <w:tab w:val="right" w:pos="6520"/>
                    </w:tabs>
                    <w:spacing w:line="240" w:lineRule="exact"/>
                    <w:rPr>
                      <w:rFonts w:ascii="Arial" w:hAnsi="Arial" w:cs="Arial"/>
                      <w:b/>
                      <w:sz w:val="16"/>
                      <w:szCs w:val="16"/>
                    </w:rPr>
                  </w:pPr>
                  <w:r w:rsidRPr="00FE322B">
                    <w:rPr>
                      <w:rFonts w:ascii="Arial" w:hAnsi="Arial" w:cs="Arial"/>
                      <w:sz w:val="16"/>
                      <w:szCs w:val="16"/>
                    </w:rPr>
                    <w:t>26 Eylül 2014  CUMA</w:t>
                  </w:r>
                </w:p>
              </w:tc>
              <w:tc>
                <w:tcPr>
                  <w:tcW w:w="2931" w:type="dxa"/>
                  <w:tcBorders>
                    <w:top w:val="nil"/>
                    <w:left w:val="nil"/>
                    <w:bottom w:val="single" w:sz="4" w:space="0" w:color="660066"/>
                    <w:right w:val="nil"/>
                  </w:tcBorders>
                  <w:vAlign w:val="center"/>
                  <w:hideMark/>
                </w:tcPr>
                <w:p w:rsidR="00FE322B" w:rsidRPr="00FE322B" w:rsidRDefault="00FE322B" w:rsidP="00FE322B">
                  <w:pPr>
                    <w:tabs>
                      <w:tab w:val="left" w:pos="567"/>
                      <w:tab w:val="center" w:pos="994"/>
                      <w:tab w:val="center" w:pos="3543"/>
                      <w:tab w:val="right" w:pos="6520"/>
                    </w:tabs>
                    <w:spacing w:line="240" w:lineRule="exact"/>
                    <w:jc w:val="center"/>
                    <w:rPr>
                      <w:rFonts w:ascii="Palatino Linotype" w:hAnsi="Palatino Linotype"/>
                      <w:b/>
                      <w:color w:val="800080"/>
                      <w:sz w:val="24"/>
                      <w:szCs w:val="24"/>
                    </w:rPr>
                  </w:pPr>
                  <w:r w:rsidRPr="00FE322B">
                    <w:rPr>
                      <w:rFonts w:ascii="Palatino Linotype" w:hAnsi="Palatino Linotype"/>
                      <w:b/>
                      <w:color w:val="800080"/>
                      <w:sz w:val="24"/>
                      <w:szCs w:val="24"/>
                    </w:rPr>
                    <w:t>Resmî Gazete</w:t>
                  </w:r>
                </w:p>
              </w:tc>
              <w:tc>
                <w:tcPr>
                  <w:tcW w:w="2927" w:type="dxa"/>
                  <w:tcBorders>
                    <w:top w:val="nil"/>
                    <w:left w:val="nil"/>
                    <w:bottom w:val="single" w:sz="4" w:space="0" w:color="660066"/>
                    <w:right w:val="nil"/>
                  </w:tcBorders>
                  <w:vAlign w:val="center"/>
                  <w:hideMark/>
                </w:tcPr>
                <w:p w:rsidR="00FE322B" w:rsidRPr="00FE322B" w:rsidRDefault="00FE322B" w:rsidP="00FE322B">
                  <w:pPr>
                    <w:spacing w:before="100" w:beforeAutospacing="1" w:after="100" w:afterAutospacing="1"/>
                    <w:jc w:val="right"/>
                    <w:rPr>
                      <w:rFonts w:ascii="Arial" w:hAnsi="Arial" w:cs="Arial"/>
                      <w:sz w:val="16"/>
                      <w:szCs w:val="16"/>
                    </w:rPr>
                  </w:pPr>
                  <w:r w:rsidRPr="00FE322B">
                    <w:rPr>
                      <w:rFonts w:ascii="Arial" w:hAnsi="Arial" w:cs="Arial"/>
                      <w:sz w:val="16"/>
                      <w:szCs w:val="16"/>
                    </w:rPr>
                    <w:t>Sayı : 29131</w:t>
                  </w:r>
                </w:p>
              </w:tc>
            </w:tr>
            <w:tr w:rsidR="00FE322B" w:rsidRPr="00FE322B">
              <w:trPr>
                <w:trHeight w:val="480"/>
                <w:jc w:val="center"/>
              </w:trPr>
              <w:tc>
                <w:tcPr>
                  <w:tcW w:w="8789" w:type="dxa"/>
                  <w:gridSpan w:val="3"/>
                  <w:vAlign w:val="center"/>
                  <w:hideMark/>
                </w:tcPr>
                <w:p w:rsidR="00FE322B" w:rsidRPr="00FE322B" w:rsidRDefault="00FE322B" w:rsidP="00FE322B">
                  <w:pPr>
                    <w:spacing w:before="100" w:beforeAutospacing="1" w:after="100" w:afterAutospacing="1"/>
                    <w:jc w:val="center"/>
                    <w:rPr>
                      <w:rFonts w:ascii="Arial" w:hAnsi="Arial" w:cs="Arial"/>
                      <w:b/>
                      <w:color w:val="000080"/>
                      <w:sz w:val="18"/>
                      <w:szCs w:val="18"/>
                    </w:rPr>
                  </w:pPr>
                  <w:r w:rsidRPr="00FE322B">
                    <w:rPr>
                      <w:rFonts w:ascii="Arial" w:hAnsi="Arial" w:cs="Arial"/>
                      <w:b/>
                      <w:color w:val="000080"/>
                      <w:sz w:val="18"/>
                      <w:szCs w:val="18"/>
                    </w:rPr>
                    <w:t>TEBLİĞ</w:t>
                  </w:r>
                </w:p>
              </w:tc>
            </w:tr>
            <w:tr w:rsidR="00FE322B" w:rsidRPr="00FE322B">
              <w:trPr>
                <w:trHeight w:val="480"/>
                <w:jc w:val="center"/>
              </w:trPr>
              <w:tc>
                <w:tcPr>
                  <w:tcW w:w="8789" w:type="dxa"/>
                  <w:gridSpan w:val="3"/>
                  <w:vAlign w:val="center"/>
                </w:tcPr>
                <w:p w:rsidR="00FE322B" w:rsidRPr="00FE322B" w:rsidRDefault="00FE322B" w:rsidP="00FE322B">
                  <w:pPr>
                    <w:tabs>
                      <w:tab w:val="left" w:pos="566"/>
                    </w:tabs>
                    <w:spacing w:line="240" w:lineRule="exact"/>
                    <w:ind w:firstLine="566"/>
                    <w:rPr>
                      <w:rFonts w:eastAsia="ヒラギノ明朝 Pro W3"/>
                      <w:sz w:val="18"/>
                      <w:szCs w:val="18"/>
                      <w:u w:val="single"/>
                    </w:rPr>
                  </w:pPr>
                  <w:r w:rsidRPr="00FE322B">
                    <w:rPr>
                      <w:rFonts w:eastAsia="ヒラギノ明朝 Pro W3"/>
                      <w:sz w:val="18"/>
                      <w:szCs w:val="18"/>
                      <w:u w:val="single"/>
                    </w:rPr>
                    <w:t>Ekonomi Bakanlığından:</w:t>
                  </w:r>
                </w:p>
                <w:p w:rsidR="00FE322B" w:rsidRPr="00FE322B" w:rsidRDefault="00FE322B" w:rsidP="00FE322B">
                  <w:pPr>
                    <w:spacing w:line="240" w:lineRule="exact"/>
                    <w:jc w:val="center"/>
                    <w:rPr>
                      <w:rFonts w:eastAsia="ヒラギノ明朝 Pro W3"/>
                      <w:b/>
                      <w:sz w:val="18"/>
                      <w:szCs w:val="18"/>
                    </w:rPr>
                  </w:pPr>
                  <w:r w:rsidRPr="00FE322B">
                    <w:rPr>
                      <w:rFonts w:eastAsia="ヒラギノ明朝 Pro W3"/>
                      <w:b/>
                      <w:sz w:val="18"/>
                      <w:szCs w:val="18"/>
                    </w:rPr>
                    <w:t>TÜRKMENİSTAN MENŞELİ BAZI TEKSTİL ÜRÜNLERİ İTHALATINDA</w:t>
                  </w:r>
                </w:p>
                <w:p w:rsidR="00FE322B" w:rsidRPr="00FE322B" w:rsidRDefault="00FE322B" w:rsidP="00FE322B">
                  <w:pPr>
                    <w:spacing w:line="240" w:lineRule="exact"/>
                    <w:jc w:val="center"/>
                    <w:rPr>
                      <w:rFonts w:eastAsia="ヒラギノ明朝 Pro W3"/>
                      <w:b/>
                      <w:sz w:val="18"/>
                      <w:szCs w:val="18"/>
                    </w:rPr>
                  </w:pPr>
                  <w:r w:rsidRPr="00FE322B">
                    <w:rPr>
                      <w:rFonts w:eastAsia="ヒラギノ明朝 Pro W3"/>
                      <w:b/>
                      <w:sz w:val="18"/>
                      <w:szCs w:val="18"/>
                    </w:rPr>
                    <w:t>TARİFE KONTENJANI UYGULANMASINA İLİŞKİN TEBLİĞ</w:t>
                  </w:r>
                </w:p>
                <w:p w:rsidR="00FE322B" w:rsidRPr="00FE322B" w:rsidRDefault="00FE322B" w:rsidP="00FE322B">
                  <w:pPr>
                    <w:tabs>
                      <w:tab w:val="left" w:pos="566"/>
                    </w:tabs>
                    <w:spacing w:line="240" w:lineRule="exact"/>
                    <w:ind w:firstLine="566"/>
                    <w:jc w:val="both"/>
                    <w:rPr>
                      <w:rFonts w:eastAsia="ヒラギノ明朝 Pro W3"/>
                      <w:b/>
                      <w:sz w:val="18"/>
                      <w:szCs w:val="18"/>
                    </w:rPr>
                  </w:pPr>
                  <w:r w:rsidRPr="00FE322B">
                    <w:rPr>
                      <w:rFonts w:eastAsia="ヒラギノ明朝 Pro W3"/>
                      <w:b/>
                      <w:sz w:val="18"/>
                      <w:szCs w:val="18"/>
                    </w:rPr>
                    <w:t>Amaç ve kapsam</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b/>
                      <w:sz w:val="18"/>
                      <w:szCs w:val="18"/>
                    </w:rPr>
                    <w:t>MADDE 1 –</w:t>
                  </w:r>
                  <w:r w:rsidRPr="00FE322B">
                    <w:rPr>
                      <w:rFonts w:eastAsia="ヒラギノ明朝 Pro W3"/>
                      <w:sz w:val="18"/>
                      <w:szCs w:val="18"/>
                    </w:rPr>
                    <w:t xml:space="preserve"> (1) Bu Tebliğin amacı, 8/9/2014 tarihli ve 2014/6739 sayılı “Türkmenistan Menşeli Bazı Tekstil Ürünleri İthalatında Tarife Kontenjanı Uygulanması Hakkında Karar” uyarınca, Türkmenistan menşeli bazı tekstil ürünleri ithalatında açılan tarife kontenjanının dağıtım yöntemi ile başvuru ve kullanım usul ve esaslarının düzenlenmesidir.</w:t>
                  </w:r>
                </w:p>
                <w:p w:rsidR="00FE322B" w:rsidRPr="00FE322B" w:rsidRDefault="00FE322B" w:rsidP="00FE322B">
                  <w:pPr>
                    <w:tabs>
                      <w:tab w:val="left" w:pos="566"/>
                    </w:tabs>
                    <w:spacing w:line="240" w:lineRule="exact"/>
                    <w:ind w:firstLine="566"/>
                    <w:jc w:val="both"/>
                    <w:rPr>
                      <w:rFonts w:eastAsia="ヒラギノ明朝 Pro W3"/>
                      <w:b/>
                      <w:sz w:val="18"/>
                      <w:szCs w:val="18"/>
                    </w:rPr>
                  </w:pPr>
                  <w:r w:rsidRPr="00FE322B">
                    <w:rPr>
                      <w:rFonts w:eastAsia="ヒラギノ明朝 Pro W3"/>
                      <w:b/>
                      <w:sz w:val="18"/>
                      <w:szCs w:val="18"/>
                    </w:rPr>
                    <w:t>Dayanak</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b/>
                      <w:sz w:val="18"/>
                      <w:szCs w:val="18"/>
                    </w:rPr>
                    <w:t>MADDE 2 –</w:t>
                  </w:r>
                  <w:r w:rsidRPr="00FE322B">
                    <w:rPr>
                      <w:rFonts w:eastAsia="ヒラギノ明朝 Pro W3"/>
                      <w:sz w:val="18"/>
                      <w:szCs w:val="18"/>
                    </w:rPr>
                    <w:t xml:space="preserve"> (1) Bu Tebliğ, 8/9/2014 tarihli ve 2014/6739 sayılı “Türkmenistan Menşeli Bazı Tekstil Ürünleri İthalatında Tarife Kontenjanı Uygulanması Hakkında Karar” ile 14/4/2010 tarihli ve 2010/339 sayılı Bakanlar Kurulu Kararı ile yürürlüğe konulan İthalatta Kota ve Tarife Kontenjanı İdaresi Hakkında Karara dayanılarak hazırlanmıştır.</w:t>
                  </w:r>
                </w:p>
                <w:p w:rsidR="00FE322B" w:rsidRPr="00FE322B" w:rsidRDefault="00FE322B" w:rsidP="00FE322B">
                  <w:pPr>
                    <w:tabs>
                      <w:tab w:val="left" w:pos="566"/>
                    </w:tabs>
                    <w:spacing w:line="240" w:lineRule="exact"/>
                    <w:ind w:firstLine="566"/>
                    <w:jc w:val="both"/>
                    <w:rPr>
                      <w:rFonts w:eastAsia="ヒラギノ明朝 Pro W3"/>
                      <w:b/>
                      <w:sz w:val="18"/>
                      <w:szCs w:val="18"/>
                    </w:rPr>
                  </w:pPr>
                  <w:r w:rsidRPr="00FE322B">
                    <w:rPr>
                      <w:rFonts w:eastAsia="ヒラギノ明朝 Pro W3"/>
                      <w:b/>
                      <w:sz w:val="18"/>
                      <w:szCs w:val="18"/>
                    </w:rPr>
                    <w:t>Tarife kontenjanı başvuru usul ve esasları</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b/>
                      <w:sz w:val="18"/>
                      <w:szCs w:val="18"/>
                    </w:rPr>
                    <w:t>MADDE 3 –</w:t>
                  </w:r>
                  <w:r w:rsidRPr="00FE322B">
                    <w:rPr>
                      <w:rFonts w:eastAsia="ヒラギノ明朝 Pro W3"/>
                      <w:sz w:val="18"/>
                      <w:szCs w:val="18"/>
                    </w:rPr>
                    <w:t xml:space="preserve"> (1) 8/9/2014 tarihli ve 2014/6739 sayılı “Türkmenistan Menşeli Bazı Tekstil Ürünleri İthalatında Tarife Kontenjanı Uygulanması Hakkında Karar” uyarınca, aşağıdaki tabloda gümrük tarife pozisyonu (G.T.P) ve tanımı belirtilen Türkmenistan menşeli eşyanın ithalatında karşılarında gösterilen miktarlarda açılan tarife kontenjanının dağıtımı talep toplama yöntemiyle yapılacaktır.</w:t>
                  </w:r>
                </w:p>
                <w:p w:rsidR="00FE322B" w:rsidRPr="00FE322B" w:rsidRDefault="00FE322B" w:rsidP="00FE322B">
                  <w:pPr>
                    <w:tabs>
                      <w:tab w:val="left" w:pos="566"/>
                    </w:tabs>
                    <w:spacing w:line="240" w:lineRule="exact"/>
                    <w:ind w:firstLine="566"/>
                    <w:jc w:val="both"/>
                    <w:rPr>
                      <w:rFonts w:eastAsia="ヒラギノ明朝 Pro W3"/>
                      <w:sz w:val="18"/>
                      <w:szCs w:val="18"/>
                    </w:rPr>
                  </w:pPr>
                </w:p>
                <w:tbl>
                  <w:tblPr>
                    <w:tblStyle w:val="NormalTablo"/>
                    <w:tblW w:w="8580" w:type="dxa"/>
                    <w:tblInd w:w="0" w:type="dxa"/>
                    <w:tblCellMar>
                      <w:left w:w="70" w:type="dxa"/>
                      <w:right w:w="70" w:type="dxa"/>
                    </w:tblCellMar>
                    <w:tblLook w:val="04A0"/>
                  </w:tblPr>
                  <w:tblGrid>
                    <w:gridCol w:w="666"/>
                    <w:gridCol w:w="6547"/>
                    <w:gridCol w:w="607"/>
                    <w:gridCol w:w="760"/>
                  </w:tblGrid>
                  <w:tr w:rsidR="00FE322B" w:rsidRPr="00FE322B">
                    <w:trPr>
                      <w:trHeight w:val="310"/>
                    </w:trPr>
                    <w:tc>
                      <w:tcPr>
                        <w:tcW w:w="388" w:type="pct"/>
                        <w:tcBorders>
                          <w:top w:val="single" w:sz="4" w:space="0" w:color="auto"/>
                          <w:left w:val="single" w:sz="4" w:space="0" w:color="auto"/>
                          <w:bottom w:val="single" w:sz="4" w:space="0" w:color="auto"/>
                          <w:right w:val="single" w:sz="4" w:space="0" w:color="auto"/>
                        </w:tcBorders>
                        <w:noWrap/>
                        <w:hideMark/>
                      </w:tcPr>
                      <w:p w:rsidR="00FE322B" w:rsidRPr="00FE322B" w:rsidRDefault="00FE322B" w:rsidP="00FE322B">
                        <w:pPr>
                          <w:spacing w:line="240" w:lineRule="exact"/>
                          <w:jc w:val="both"/>
                          <w:rPr>
                            <w:b/>
                            <w:color w:val="000000"/>
                            <w:sz w:val="18"/>
                            <w:szCs w:val="18"/>
                          </w:rPr>
                        </w:pPr>
                        <w:r w:rsidRPr="00FE322B">
                          <w:rPr>
                            <w:b/>
                            <w:color w:val="000000"/>
                            <w:sz w:val="18"/>
                            <w:szCs w:val="18"/>
                          </w:rPr>
                          <w:t>G.T.P.</w:t>
                        </w:r>
                      </w:p>
                    </w:tc>
                    <w:tc>
                      <w:tcPr>
                        <w:tcW w:w="3815" w:type="pct"/>
                        <w:tcBorders>
                          <w:top w:val="single" w:sz="4" w:space="0" w:color="auto"/>
                          <w:left w:val="nil"/>
                          <w:bottom w:val="single" w:sz="4" w:space="0" w:color="auto"/>
                          <w:right w:val="single" w:sz="4" w:space="0" w:color="auto"/>
                        </w:tcBorders>
                        <w:noWrap/>
                        <w:hideMark/>
                      </w:tcPr>
                      <w:p w:rsidR="00FE322B" w:rsidRPr="00FE322B" w:rsidRDefault="00FE322B" w:rsidP="00FE322B">
                        <w:pPr>
                          <w:spacing w:line="240" w:lineRule="exact"/>
                          <w:jc w:val="both"/>
                          <w:rPr>
                            <w:b/>
                            <w:color w:val="000000"/>
                            <w:sz w:val="18"/>
                            <w:szCs w:val="18"/>
                          </w:rPr>
                        </w:pPr>
                        <w:r w:rsidRPr="00FE322B">
                          <w:rPr>
                            <w:b/>
                            <w:color w:val="000000"/>
                            <w:sz w:val="18"/>
                            <w:szCs w:val="18"/>
                          </w:rPr>
                          <w:t>Eşyanın Tanımı</w:t>
                        </w:r>
                      </w:p>
                    </w:tc>
                    <w:tc>
                      <w:tcPr>
                        <w:tcW w:w="354" w:type="pct"/>
                        <w:tcBorders>
                          <w:top w:val="single" w:sz="4" w:space="0" w:color="auto"/>
                          <w:left w:val="nil"/>
                          <w:bottom w:val="single" w:sz="4" w:space="0" w:color="auto"/>
                          <w:right w:val="single" w:sz="4" w:space="0" w:color="auto"/>
                        </w:tcBorders>
                        <w:noWrap/>
                        <w:hideMark/>
                      </w:tcPr>
                      <w:p w:rsidR="00FE322B" w:rsidRPr="00FE322B" w:rsidRDefault="00FE322B" w:rsidP="00FE322B">
                        <w:pPr>
                          <w:spacing w:line="240" w:lineRule="exact"/>
                          <w:jc w:val="center"/>
                          <w:rPr>
                            <w:b/>
                            <w:color w:val="000000"/>
                            <w:sz w:val="18"/>
                            <w:szCs w:val="18"/>
                          </w:rPr>
                        </w:pPr>
                        <w:r w:rsidRPr="00FE322B">
                          <w:rPr>
                            <w:b/>
                            <w:color w:val="000000"/>
                            <w:sz w:val="18"/>
                            <w:szCs w:val="18"/>
                          </w:rPr>
                          <w:t>Birim</w:t>
                        </w:r>
                      </w:p>
                    </w:tc>
                    <w:tc>
                      <w:tcPr>
                        <w:tcW w:w="444" w:type="pct"/>
                        <w:tcBorders>
                          <w:top w:val="single" w:sz="4" w:space="0" w:color="auto"/>
                          <w:left w:val="nil"/>
                          <w:bottom w:val="single" w:sz="4" w:space="0" w:color="auto"/>
                          <w:right w:val="single" w:sz="4" w:space="0" w:color="auto"/>
                        </w:tcBorders>
                        <w:shd w:val="clear" w:color="auto" w:fill="FFFFFF"/>
                        <w:noWrap/>
                        <w:hideMark/>
                      </w:tcPr>
                      <w:p w:rsidR="00FE322B" w:rsidRPr="00FE322B" w:rsidRDefault="00FE322B" w:rsidP="00FE322B">
                        <w:pPr>
                          <w:spacing w:line="240" w:lineRule="exact"/>
                          <w:jc w:val="center"/>
                          <w:rPr>
                            <w:b/>
                            <w:color w:val="000000"/>
                            <w:sz w:val="18"/>
                            <w:szCs w:val="18"/>
                          </w:rPr>
                        </w:pPr>
                        <w:r w:rsidRPr="00FE322B">
                          <w:rPr>
                            <w:b/>
                            <w:color w:val="000000"/>
                            <w:sz w:val="18"/>
                            <w:szCs w:val="18"/>
                          </w:rPr>
                          <w:t>Miktarı</w:t>
                        </w:r>
                      </w:p>
                    </w:tc>
                  </w:tr>
                  <w:tr w:rsidR="00FE322B" w:rsidRPr="00FE322B">
                    <w:trPr>
                      <w:trHeight w:val="790"/>
                    </w:trPr>
                    <w:tc>
                      <w:tcPr>
                        <w:tcW w:w="388" w:type="pct"/>
                        <w:tcBorders>
                          <w:top w:val="nil"/>
                          <w:left w:val="single" w:sz="4" w:space="0" w:color="auto"/>
                          <w:bottom w:val="single" w:sz="4" w:space="0" w:color="auto"/>
                          <w:right w:val="single" w:sz="4" w:space="0" w:color="auto"/>
                        </w:tcBorders>
                        <w:noWrap/>
                        <w:vAlign w:val="center"/>
                        <w:hideMark/>
                      </w:tcPr>
                      <w:p w:rsidR="00FE322B" w:rsidRPr="00FE322B" w:rsidRDefault="00FE322B" w:rsidP="00FE322B">
                        <w:pPr>
                          <w:spacing w:line="240" w:lineRule="exact"/>
                          <w:jc w:val="center"/>
                          <w:rPr>
                            <w:color w:val="000000"/>
                            <w:sz w:val="18"/>
                            <w:szCs w:val="18"/>
                          </w:rPr>
                        </w:pPr>
                        <w:r w:rsidRPr="00FE322B">
                          <w:rPr>
                            <w:color w:val="000000"/>
                            <w:sz w:val="18"/>
                            <w:szCs w:val="18"/>
                          </w:rPr>
                          <w:t>52.05</w:t>
                        </w:r>
                      </w:p>
                    </w:tc>
                    <w:tc>
                      <w:tcPr>
                        <w:tcW w:w="3815" w:type="pct"/>
                        <w:tcBorders>
                          <w:top w:val="nil"/>
                          <w:left w:val="nil"/>
                          <w:bottom w:val="single" w:sz="4" w:space="0" w:color="auto"/>
                          <w:right w:val="single" w:sz="4" w:space="0" w:color="auto"/>
                        </w:tcBorders>
                        <w:noWrap/>
                        <w:hideMark/>
                      </w:tcPr>
                      <w:p w:rsidR="00FE322B" w:rsidRPr="00FE322B" w:rsidRDefault="00FE322B" w:rsidP="00FE322B">
                        <w:pPr>
                          <w:spacing w:line="240" w:lineRule="exact"/>
                          <w:jc w:val="both"/>
                          <w:rPr>
                            <w:color w:val="000000"/>
                            <w:sz w:val="18"/>
                            <w:szCs w:val="18"/>
                          </w:rPr>
                        </w:pPr>
                        <w:r w:rsidRPr="00FE322B">
                          <w:rPr>
                            <w:color w:val="000000"/>
                            <w:sz w:val="18"/>
                            <w:szCs w:val="18"/>
                          </w:rPr>
                          <w:t>Pamuk ipliği (dikiş ipliği hariç) (ağırlık itibariyle % 85 veya daha fazla pamuk içeren</w:t>
                        </w:r>
                      </w:p>
                      <w:p w:rsidR="00FE322B" w:rsidRPr="00FE322B" w:rsidRDefault="00FE322B" w:rsidP="00FE322B">
                        <w:pPr>
                          <w:spacing w:line="240" w:lineRule="exact"/>
                          <w:jc w:val="both"/>
                          <w:rPr>
                            <w:color w:val="000000"/>
                            <w:sz w:val="18"/>
                            <w:szCs w:val="18"/>
                          </w:rPr>
                        </w:pPr>
                        <w:r w:rsidRPr="00FE322B">
                          <w:rPr>
                            <w:color w:val="000000"/>
                            <w:sz w:val="18"/>
                            <w:szCs w:val="18"/>
                          </w:rPr>
                          <w:t>ve perakende olarak satılacak hale getirilmemiş olanlar)</w:t>
                        </w:r>
                      </w:p>
                    </w:tc>
                    <w:tc>
                      <w:tcPr>
                        <w:tcW w:w="354" w:type="pct"/>
                        <w:tcBorders>
                          <w:top w:val="nil"/>
                          <w:left w:val="nil"/>
                          <w:bottom w:val="single" w:sz="4" w:space="0" w:color="auto"/>
                          <w:right w:val="single" w:sz="4" w:space="0" w:color="auto"/>
                        </w:tcBorders>
                        <w:noWrap/>
                        <w:vAlign w:val="center"/>
                        <w:hideMark/>
                      </w:tcPr>
                      <w:p w:rsidR="00FE322B" w:rsidRPr="00FE322B" w:rsidRDefault="00FE322B" w:rsidP="00FE322B">
                        <w:pPr>
                          <w:spacing w:line="240" w:lineRule="exact"/>
                          <w:jc w:val="center"/>
                          <w:rPr>
                            <w:color w:val="000000"/>
                            <w:sz w:val="18"/>
                            <w:szCs w:val="18"/>
                          </w:rPr>
                        </w:pPr>
                        <w:r w:rsidRPr="00FE322B">
                          <w:rPr>
                            <w:color w:val="000000"/>
                            <w:sz w:val="18"/>
                            <w:szCs w:val="18"/>
                          </w:rPr>
                          <w:t>Ton</w:t>
                        </w:r>
                      </w:p>
                    </w:tc>
                    <w:tc>
                      <w:tcPr>
                        <w:tcW w:w="444" w:type="pct"/>
                        <w:tcBorders>
                          <w:top w:val="nil"/>
                          <w:left w:val="nil"/>
                          <w:bottom w:val="single" w:sz="4" w:space="0" w:color="auto"/>
                          <w:right w:val="single" w:sz="4" w:space="0" w:color="auto"/>
                        </w:tcBorders>
                        <w:shd w:val="clear" w:color="auto" w:fill="FFFFFF"/>
                        <w:noWrap/>
                        <w:vAlign w:val="center"/>
                        <w:hideMark/>
                      </w:tcPr>
                      <w:p w:rsidR="00FE322B" w:rsidRPr="00FE322B" w:rsidRDefault="00FE322B" w:rsidP="00FE322B">
                        <w:pPr>
                          <w:spacing w:line="240" w:lineRule="exact"/>
                          <w:jc w:val="center"/>
                          <w:rPr>
                            <w:color w:val="000000"/>
                            <w:sz w:val="18"/>
                            <w:szCs w:val="18"/>
                          </w:rPr>
                        </w:pPr>
                        <w:r w:rsidRPr="00FE322B">
                          <w:rPr>
                            <w:color w:val="000000"/>
                            <w:sz w:val="18"/>
                            <w:szCs w:val="18"/>
                          </w:rPr>
                          <w:t>39.000</w:t>
                        </w:r>
                      </w:p>
                    </w:tc>
                  </w:tr>
                  <w:tr w:rsidR="00FE322B" w:rsidRPr="00FE322B">
                    <w:trPr>
                      <w:trHeight w:val="790"/>
                    </w:trPr>
                    <w:tc>
                      <w:tcPr>
                        <w:tcW w:w="388" w:type="pct"/>
                        <w:tcBorders>
                          <w:top w:val="nil"/>
                          <w:left w:val="single" w:sz="4" w:space="0" w:color="auto"/>
                          <w:bottom w:val="single" w:sz="4" w:space="0" w:color="auto"/>
                          <w:right w:val="single" w:sz="4" w:space="0" w:color="auto"/>
                        </w:tcBorders>
                        <w:noWrap/>
                        <w:vAlign w:val="center"/>
                        <w:hideMark/>
                      </w:tcPr>
                      <w:p w:rsidR="00FE322B" w:rsidRPr="00FE322B" w:rsidRDefault="00FE322B" w:rsidP="00FE322B">
                        <w:pPr>
                          <w:spacing w:line="240" w:lineRule="exact"/>
                          <w:jc w:val="center"/>
                          <w:rPr>
                            <w:color w:val="000000"/>
                            <w:sz w:val="18"/>
                            <w:szCs w:val="18"/>
                          </w:rPr>
                        </w:pPr>
                        <w:r w:rsidRPr="00FE322B">
                          <w:rPr>
                            <w:color w:val="000000"/>
                            <w:sz w:val="18"/>
                            <w:szCs w:val="18"/>
                          </w:rPr>
                          <w:t>52.08</w:t>
                        </w:r>
                      </w:p>
                    </w:tc>
                    <w:tc>
                      <w:tcPr>
                        <w:tcW w:w="3815" w:type="pct"/>
                        <w:tcBorders>
                          <w:top w:val="nil"/>
                          <w:left w:val="nil"/>
                          <w:bottom w:val="single" w:sz="4" w:space="0" w:color="auto"/>
                          <w:right w:val="single" w:sz="4" w:space="0" w:color="auto"/>
                        </w:tcBorders>
                        <w:noWrap/>
                        <w:hideMark/>
                      </w:tcPr>
                      <w:p w:rsidR="00FE322B" w:rsidRPr="00FE322B" w:rsidRDefault="00FE322B" w:rsidP="00FE322B">
                        <w:pPr>
                          <w:spacing w:line="240" w:lineRule="exact"/>
                          <w:jc w:val="both"/>
                          <w:rPr>
                            <w:color w:val="000000"/>
                            <w:sz w:val="18"/>
                            <w:szCs w:val="18"/>
                          </w:rPr>
                        </w:pPr>
                        <w:r w:rsidRPr="00FE322B">
                          <w:rPr>
                            <w:color w:val="000000"/>
                            <w:sz w:val="18"/>
                            <w:szCs w:val="18"/>
                          </w:rPr>
                          <w:t>Pamuktan dokunmuş mensucat (ağırlık itibariyle % 85 veya daha fazla pamuk</w:t>
                        </w:r>
                      </w:p>
                      <w:p w:rsidR="00FE322B" w:rsidRPr="00FE322B" w:rsidRDefault="00FE322B" w:rsidP="00FE322B">
                        <w:pPr>
                          <w:spacing w:line="240" w:lineRule="exact"/>
                          <w:jc w:val="both"/>
                          <w:rPr>
                            <w:color w:val="000000"/>
                            <w:sz w:val="18"/>
                            <w:szCs w:val="18"/>
                          </w:rPr>
                        </w:pPr>
                        <w:r w:rsidRPr="00FE322B">
                          <w:rPr>
                            <w:color w:val="000000"/>
                            <w:sz w:val="18"/>
                            <w:szCs w:val="18"/>
                          </w:rPr>
                          <w:t>içerenler)(m</w:t>
                        </w:r>
                        <w:r w:rsidRPr="00FE322B">
                          <w:rPr>
                            <w:color w:val="000000"/>
                            <w:sz w:val="18"/>
                            <w:szCs w:val="18"/>
                            <w:vertAlign w:val="superscript"/>
                          </w:rPr>
                          <w:t>2</w:t>
                        </w:r>
                        <w:r w:rsidRPr="00FE322B">
                          <w:rPr>
                            <w:color w:val="000000"/>
                            <w:sz w:val="18"/>
                            <w:szCs w:val="18"/>
                          </w:rPr>
                          <w:t>. ağırlığı 200 gr. ı geçmeyenler)</w:t>
                        </w:r>
                      </w:p>
                    </w:tc>
                    <w:tc>
                      <w:tcPr>
                        <w:tcW w:w="354" w:type="pct"/>
                        <w:tcBorders>
                          <w:top w:val="nil"/>
                          <w:left w:val="nil"/>
                          <w:bottom w:val="single" w:sz="4" w:space="0" w:color="auto"/>
                          <w:right w:val="single" w:sz="4" w:space="0" w:color="auto"/>
                        </w:tcBorders>
                        <w:noWrap/>
                        <w:vAlign w:val="center"/>
                        <w:hideMark/>
                      </w:tcPr>
                      <w:p w:rsidR="00FE322B" w:rsidRPr="00FE322B" w:rsidRDefault="00FE322B" w:rsidP="00FE322B">
                        <w:pPr>
                          <w:spacing w:line="240" w:lineRule="exact"/>
                          <w:jc w:val="center"/>
                          <w:rPr>
                            <w:color w:val="000000"/>
                            <w:sz w:val="18"/>
                            <w:szCs w:val="18"/>
                          </w:rPr>
                        </w:pPr>
                        <w:r w:rsidRPr="00FE322B">
                          <w:rPr>
                            <w:color w:val="000000"/>
                            <w:sz w:val="18"/>
                            <w:szCs w:val="18"/>
                          </w:rPr>
                          <w:t>Ton</w:t>
                        </w:r>
                      </w:p>
                    </w:tc>
                    <w:tc>
                      <w:tcPr>
                        <w:tcW w:w="444" w:type="pct"/>
                        <w:tcBorders>
                          <w:top w:val="nil"/>
                          <w:left w:val="nil"/>
                          <w:bottom w:val="single" w:sz="4" w:space="0" w:color="auto"/>
                          <w:right w:val="single" w:sz="4" w:space="0" w:color="auto"/>
                        </w:tcBorders>
                        <w:shd w:val="clear" w:color="auto" w:fill="FFFFFF"/>
                        <w:noWrap/>
                        <w:vAlign w:val="center"/>
                        <w:hideMark/>
                      </w:tcPr>
                      <w:p w:rsidR="00FE322B" w:rsidRPr="00FE322B" w:rsidRDefault="00FE322B" w:rsidP="00FE322B">
                        <w:pPr>
                          <w:spacing w:line="240" w:lineRule="exact"/>
                          <w:jc w:val="center"/>
                          <w:rPr>
                            <w:color w:val="000000"/>
                            <w:sz w:val="18"/>
                            <w:szCs w:val="18"/>
                          </w:rPr>
                        </w:pPr>
                        <w:r w:rsidRPr="00FE322B">
                          <w:rPr>
                            <w:color w:val="000000"/>
                            <w:sz w:val="18"/>
                            <w:szCs w:val="18"/>
                          </w:rPr>
                          <w:t>8.400</w:t>
                        </w:r>
                      </w:p>
                    </w:tc>
                  </w:tr>
                  <w:tr w:rsidR="00FE322B" w:rsidRPr="00FE322B">
                    <w:trPr>
                      <w:trHeight w:val="527"/>
                    </w:trPr>
                    <w:tc>
                      <w:tcPr>
                        <w:tcW w:w="388" w:type="pct"/>
                        <w:tcBorders>
                          <w:top w:val="nil"/>
                          <w:left w:val="single" w:sz="4" w:space="0" w:color="auto"/>
                          <w:bottom w:val="single" w:sz="4" w:space="0" w:color="auto"/>
                          <w:right w:val="single" w:sz="4" w:space="0" w:color="auto"/>
                        </w:tcBorders>
                        <w:noWrap/>
                        <w:vAlign w:val="center"/>
                        <w:hideMark/>
                      </w:tcPr>
                      <w:p w:rsidR="00FE322B" w:rsidRPr="00FE322B" w:rsidRDefault="00FE322B" w:rsidP="00FE322B">
                        <w:pPr>
                          <w:spacing w:line="240" w:lineRule="exact"/>
                          <w:jc w:val="center"/>
                          <w:rPr>
                            <w:color w:val="000000"/>
                            <w:sz w:val="18"/>
                            <w:szCs w:val="18"/>
                          </w:rPr>
                        </w:pPr>
                        <w:r w:rsidRPr="00FE322B">
                          <w:rPr>
                            <w:color w:val="000000"/>
                            <w:sz w:val="18"/>
                            <w:szCs w:val="18"/>
                          </w:rPr>
                          <w:t>52.09</w:t>
                        </w:r>
                      </w:p>
                    </w:tc>
                    <w:tc>
                      <w:tcPr>
                        <w:tcW w:w="3815" w:type="pct"/>
                        <w:tcBorders>
                          <w:top w:val="nil"/>
                          <w:left w:val="nil"/>
                          <w:bottom w:val="single" w:sz="4" w:space="0" w:color="auto"/>
                          <w:right w:val="single" w:sz="4" w:space="0" w:color="auto"/>
                        </w:tcBorders>
                        <w:noWrap/>
                        <w:hideMark/>
                      </w:tcPr>
                      <w:p w:rsidR="00FE322B" w:rsidRPr="00FE322B" w:rsidRDefault="00FE322B" w:rsidP="00FE322B">
                        <w:pPr>
                          <w:spacing w:line="240" w:lineRule="exact"/>
                          <w:jc w:val="both"/>
                          <w:rPr>
                            <w:color w:val="000000"/>
                            <w:sz w:val="18"/>
                            <w:szCs w:val="18"/>
                          </w:rPr>
                        </w:pPr>
                        <w:r w:rsidRPr="00FE322B">
                          <w:rPr>
                            <w:color w:val="000000"/>
                            <w:sz w:val="18"/>
                            <w:szCs w:val="18"/>
                          </w:rPr>
                          <w:t>Pamuktan dokunmuş (ağırlık itibariyle % 85 veya daha fazla pamuk içeren ve</w:t>
                        </w:r>
                      </w:p>
                      <w:p w:rsidR="00FE322B" w:rsidRPr="00FE322B" w:rsidRDefault="00FE322B" w:rsidP="00FE322B">
                        <w:pPr>
                          <w:spacing w:line="240" w:lineRule="exact"/>
                          <w:jc w:val="both"/>
                          <w:rPr>
                            <w:color w:val="000000"/>
                            <w:sz w:val="18"/>
                            <w:szCs w:val="18"/>
                          </w:rPr>
                        </w:pPr>
                        <w:r w:rsidRPr="00FE322B">
                          <w:rPr>
                            <w:color w:val="000000"/>
                            <w:sz w:val="18"/>
                            <w:szCs w:val="18"/>
                          </w:rPr>
                          <w:t>m</w:t>
                        </w:r>
                        <w:r w:rsidRPr="00FE322B">
                          <w:rPr>
                            <w:color w:val="000000"/>
                            <w:sz w:val="18"/>
                            <w:szCs w:val="18"/>
                            <w:vertAlign w:val="superscript"/>
                          </w:rPr>
                          <w:t>2</w:t>
                        </w:r>
                        <w:r w:rsidRPr="00FE322B">
                          <w:rPr>
                            <w:color w:val="000000"/>
                            <w:sz w:val="18"/>
                            <w:szCs w:val="18"/>
                          </w:rPr>
                          <w:t xml:space="preserve"> ağırlığı 200 gr. ı geçenler)</w:t>
                        </w:r>
                      </w:p>
                    </w:tc>
                    <w:tc>
                      <w:tcPr>
                        <w:tcW w:w="354" w:type="pct"/>
                        <w:tcBorders>
                          <w:top w:val="nil"/>
                          <w:left w:val="nil"/>
                          <w:bottom w:val="single" w:sz="4" w:space="0" w:color="auto"/>
                          <w:right w:val="single" w:sz="4" w:space="0" w:color="auto"/>
                        </w:tcBorders>
                        <w:noWrap/>
                        <w:vAlign w:val="center"/>
                        <w:hideMark/>
                      </w:tcPr>
                      <w:p w:rsidR="00FE322B" w:rsidRPr="00FE322B" w:rsidRDefault="00FE322B" w:rsidP="00FE322B">
                        <w:pPr>
                          <w:spacing w:line="240" w:lineRule="exact"/>
                          <w:jc w:val="center"/>
                          <w:rPr>
                            <w:color w:val="000000"/>
                            <w:sz w:val="18"/>
                            <w:szCs w:val="18"/>
                          </w:rPr>
                        </w:pPr>
                        <w:r w:rsidRPr="00FE322B">
                          <w:rPr>
                            <w:color w:val="000000"/>
                            <w:sz w:val="18"/>
                            <w:szCs w:val="18"/>
                          </w:rPr>
                          <w:t>Ton</w:t>
                        </w:r>
                      </w:p>
                    </w:tc>
                    <w:tc>
                      <w:tcPr>
                        <w:tcW w:w="444" w:type="pct"/>
                        <w:tcBorders>
                          <w:top w:val="nil"/>
                          <w:left w:val="nil"/>
                          <w:bottom w:val="single" w:sz="4" w:space="0" w:color="auto"/>
                          <w:right w:val="single" w:sz="4" w:space="0" w:color="auto"/>
                        </w:tcBorders>
                        <w:shd w:val="clear" w:color="auto" w:fill="FFFFFF"/>
                        <w:noWrap/>
                        <w:vAlign w:val="center"/>
                        <w:hideMark/>
                      </w:tcPr>
                      <w:p w:rsidR="00FE322B" w:rsidRPr="00FE322B" w:rsidRDefault="00FE322B" w:rsidP="00FE322B">
                        <w:pPr>
                          <w:spacing w:line="240" w:lineRule="exact"/>
                          <w:jc w:val="center"/>
                          <w:rPr>
                            <w:color w:val="000000"/>
                            <w:sz w:val="18"/>
                            <w:szCs w:val="18"/>
                          </w:rPr>
                        </w:pPr>
                        <w:r w:rsidRPr="00FE322B">
                          <w:rPr>
                            <w:color w:val="000000"/>
                            <w:sz w:val="18"/>
                            <w:szCs w:val="18"/>
                          </w:rPr>
                          <w:t>3.400</w:t>
                        </w:r>
                      </w:p>
                    </w:tc>
                  </w:tr>
                </w:tbl>
                <w:p w:rsidR="00FE322B" w:rsidRPr="00FE322B" w:rsidRDefault="00FE322B" w:rsidP="00FE322B">
                  <w:pPr>
                    <w:tabs>
                      <w:tab w:val="left" w:pos="566"/>
                    </w:tabs>
                    <w:spacing w:line="240" w:lineRule="exact"/>
                    <w:jc w:val="center"/>
                    <w:rPr>
                      <w:rFonts w:eastAsia="ヒラギノ明朝 Pro W3"/>
                      <w:sz w:val="18"/>
                      <w:szCs w:val="18"/>
                    </w:rPr>
                  </w:pP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sz w:val="18"/>
                      <w:szCs w:val="18"/>
                    </w:rPr>
                    <w:t>(2) Tarife kontenjanından faydalanabilmek için, ilgililerin bu Tebliğin yayımı tarihinden itibaren on iş günü içerisinde, ek-1’de yer alan “İthal Lisansı Başvuru Formu” ile ek-2’de yer alan “Başvuruya Eklenmesi Gereken Belgeler”i tam ve eksiksiz olarak düzenleyerek Ekonomi Bakanlığına (İthalat Genel Müdürlüğü) müracaat etmeleri gerekmektedir. On iş günü içerisinde yapılamayan başvurular değerlendirmeye alınmaz.</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sz w:val="18"/>
                      <w:szCs w:val="18"/>
                    </w:rPr>
                    <w:t>(3) Başvuruların değerlendirilmesinde, Ekonomi Bakanlığı genel evrak kayıt tarihi ve kayıt numarası esas alınacaktır. Başvuruda sunulan bilgi ve belgelerde tutarsızlık olduğu durumlarda ve/veya eksik yapılan başvurularda, söz konusu tutarsızlığın ve/veya eksikliğin başvuru süresi içerisinde giderilmesi gerekmektedir. Aksi takdirde, başvurular değerlendirmeye alınmaz.</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sz w:val="18"/>
                      <w:szCs w:val="18"/>
                    </w:rPr>
                    <w:t>(4) Bir başvuruda ancak bir ithal lisansı talep edilebilir. Tarife kontenjanına başvuruların, her bir G.T.P için ayrı ayrı yapılması zorunlu olup, başvurulan her bir G.T.P için ayrı ithal lisansı düzenlenir.</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sz w:val="18"/>
                      <w:szCs w:val="18"/>
                    </w:rPr>
                    <w:t>(5) Başvurulara ilişkin olarak ihtiyaç duyulması halinde Ekonomi Bakanlığınca (İthalat Genel Müdürlüğü) ek-1’de yer alan “İthal Lisansı Başvuru Formu” ile ek-2’de yer alan “Başvuruya Eklenmesi Gereken Belgeler” ile ilgili olarak firmadan ve/veya bu belgeleri düzenleyen kişi, kurum ve kuruluşlardan ek veya açıklayıcı belge ve bilgi talep edilebilir.</w:t>
                  </w:r>
                </w:p>
                <w:p w:rsidR="00FE322B" w:rsidRPr="00FE322B" w:rsidRDefault="00FE322B" w:rsidP="00FE322B">
                  <w:pPr>
                    <w:tabs>
                      <w:tab w:val="left" w:pos="566"/>
                    </w:tabs>
                    <w:spacing w:line="240" w:lineRule="exact"/>
                    <w:ind w:firstLine="566"/>
                    <w:jc w:val="both"/>
                    <w:rPr>
                      <w:rFonts w:eastAsia="ヒラギノ明朝 Pro W3"/>
                      <w:b/>
                      <w:sz w:val="18"/>
                      <w:szCs w:val="18"/>
                    </w:rPr>
                  </w:pPr>
                  <w:r w:rsidRPr="00FE322B">
                    <w:rPr>
                      <w:rFonts w:eastAsia="ヒラギノ明朝 Pro W3"/>
                      <w:b/>
                      <w:sz w:val="18"/>
                      <w:szCs w:val="18"/>
                    </w:rPr>
                    <w:t>Tarife kontenjanı dağıtımı</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b/>
                      <w:sz w:val="18"/>
                      <w:szCs w:val="18"/>
                    </w:rPr>
                    <w:t>MADDE 4 –</w:t>
                  </w:r>
                  <w:r w:rsidRPr="00FE322B">
                    <w:rPr>
                      <w:rFonts w:eastAsia="ヒラギノ明朝 Pro W3"/>
                      <w:sz w:val="18"/>
                      <w:szCs w:val="18"/>
                    </w:rPr>
                    <w:t xml:space="preserve"> (1) Tarife kontenjanı, öncelikli olarak söz konusu ürünü üretimlerinde girdi olarak kullanan firmalara dağıtılır.</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sz w:val="18"/>
                      <w:szCs w:val="18"/>
                    </w:rPr>
                    <w:t>(2) Değerlendirmeye alınabilecek nitelikteki başvurularda talep edilen toplam tarife kontenjanı miktarının, açılmış olan tarife kontenjanı miktarına eşit veya daha az olması durumunda talepler tam olarak karşılanır.</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sz w:val="18"/>
                      <w:szCs w:val="18"/>
                    </w:rPr>
                    <w:t>(3) Değerlendirmeye alınabilecek nitelikteki başvurularda talep edilen toplam tarife kontenjanı miktarının açılan tarife kontenjanı miktarından daha fazla olması durumunda ise dağıtım, geçerli başvuru sayısı, toplam talep miktarı, 2012, 2013 yılları ile 2014 yılı ilk altı ayına ait ithalat performansı, üretim, üretim kapasitesi, tüketim kapasitesi, fiili sarfiyatlar, istihdam ve ödenen/tahakkuk eden vergiler dikkate alınmak suretiyle gerçekleştirilir.</w:t>
                  </w:r>
                </w:p>
                <w:p w:rsidR="00FE322B" w:rsidRPr="00FE322B" w:rsidRDefault="00FE322B" w:rsidP="00FE322B">
                  <w:pPr>
                    <w:tabs>
                      <w:tab w:val="left" w:pos="566"/>
                    </w:tabs>
                    <w:spacing w:line="240" w:lineRule="exact"/>
                    <w:ind w:firstLine="566"/>
                    <w:jc w:val="both"/>
                    <w:rPr>
                      <w:rFonts w:eastAsia="ヒラギノ明朝 Pro W3"/>
                      <w:b/>
                      <w:sz w:val="18"/>
                      <w:szCs w:val="18"/>
                    </w:rPr>
                  </w:pPr>
                  <w:r w:rsidRPr="00FE322B">
                    <w:rPr>
                      <w:rFonts w:eastAsia="ヒラギノ明朝 Pro W3"/>
                      <w:b/>
                      <w:sz w:val="18"/>
                      <w:szCs w:val="18"/>
                    </w:rPr>
                    <w:t>İthal lisansı düzenlenmesi</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b/>
                      <w:sz w:val="18"/>
                      <w:szCs w:val="18"/>
                    </w:rPr>
                    <w:t>MADDE 5 –</w:t>
                  </w:r>
                  <w:r w:rsidRPr="00FE322B">
                    <w:rPr>
                      <w:rFonts w:eastAsia="ヒラギノ明朝 Pro W3"/>
                      <w:sz w:val="18"/>
                      <w:szCs w:val="18"/>
                    </w:rPr>
                    <w:t xml:space="preserve"> (1) Tarife kontenjanı kapsamında yapılacak ithalat için bu Tebliğde belirtilen usul ve esaslar </w:t>
                  </w:r>
                  <w:r w:rsidRPr="00FE322B">
                    <w:rPr>
                      <w:rFonts w:eastAsia="ヒラギノ明朝 Pro W3"/>
                      <w:sz w:val="18"/>
                      <w:szCs w:val="18"/>
                    </w:rPr>
                    <w:lastRenderedPageBreak/>
                    <w:t>çerçevesinde Ekonomi Bakanlığınca (İthalat Genel Müdürlüğü) ithal lisansı düzenlenir.</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sz w:val="18"/>
                      <w:szCs w:val="18"/>
                    </w:rPr>
                    <w:t>(2) İthal lisansı, bir tanesi tarife kontenjanı tahsisi yapılan firmaya verilmek üzere (firma nüshası) ve bir tanesi de Ekonomi Bakanlığında kalmak üzere (Bakanlık nüshası) iki nüsha olarak düzenlenir.</w:t>
                  </w:r>
                </w:p>
                <w:p w:rsidR="00FE322B" w:rsidRPr="00FE322B" w:rsidRDefault="00FE322B" w:rsidP="00FE322B">
                  <w:pPr>
                    <w:tabs>
                      <w:tab w:val="left" w:pos="566"/>
                    </w:tabs>
                    <w:spacing w:line="240" w:lineRule="exact"/>
                    <w:ind w:firstLine="566"/>
                    <w:jc w:val="both"/>
                    <w:rPr>
                      <w:rFonts w:eastAsia="ヒラギノ明朝 Pro W3"/>
                      <w:b/>
                      <w:sz w:val="18"/>
                      <w:szCs w:val="18"/>
                    </w:rPr>
                  </w:pPr>
                  <w:r w:rsidRPr="00FE322B">
                    <w:rPr>
                      <w:rFonts w:eastAsia="ヒラギノ明朝 Pro W3"/>
                      <w:b/>
                      <w:sz w:val="18"/>
                      <w:szCs w:val="18"/>
                    </w:rPr>
                    <w:t>Gümrük idaresince yapılacak işlemler</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b/>
                      <w:sz w:val="18"/>
                      <w:szCs w:val="18"/>
                    </w:rPr>
                    <w:t xml:space="preserve">MADDE 6 – </w:t>
                  </w:r>
                  <w:r w:rsidRPr="00FE322B">
                    <w:rPr>
                      <w:rFonts w:eastAsia="ヒラギノ明朝 Pro W3"/>
                      <w:sz w:val="18"/>
                      <w:szCs w:val="18"/>
                    </w:rPr>
                    <w:t>(1) Bu Tebliğ kapsamında ithal edilecek ürünlere ilişkin gümrük beyannamelerinin, ithal lisansının geçerlilik süresi içinde tescil edilmiş olması şarttır.</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sz w:val="18"/>
                      <w:szCs w:val="18"/>
                    </w:rPr>
                    <w:t>(2) Tarife kontenjanı kapsamında yapılacak ithalatta Bakanlıkça düzenlenen ithal lisansı gümrük beyannamesinin tescilinde ilgili gümrük idaresince aranır. İthal lisansının bir kopyası gümrük beyannamesine eklenir.</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sz w:val="18"/>
                      <w:szCs w:val="18"/>
                    </w:rPr>
                    <w:t>(3) İthal lisansı kapsamında yapılan ithalata ilişkin gerekli düşümler ilgili gümrük idaresi tarafından ithal lisansının firma nüshasının arka yüzüne işlenerek imza ve mühür altına alınır. Bu sayfada yer kalmaması halinde ise yeni sayfa ilave edilerek ilave edilen sayfa adedi ithal lisansı firma nüshasının aslına derç edilerek imza ve mühür altına alınır.</w:t>
                  </w:r>
                </w:p>
                <w:p w:rsidR="00FE322B" w:rsidRPr="00FE322B" w:rsidRDefault="00FE322B" w:rsidP="00FE322B">
                  <w:pPr>
                    <w:tabs>
                      <w:tab w:val="left" w:pos="566"/>
                    </w:tabs>
                    <w:spacing w:line="240" w:lineRule="exact"/>
                    <w:ind w:firstLine="566"/>
                    <w:jc w:val="both"/>
                    <w:rPr>
                      <w:rFonts w:eastAsia="ヒラギノ明朝 Pro W3"/>
                      <w:b/>
                      <w:sz w:val="18"/>
                      <w:szCs w:val="18"/>
                    </w:rPr>
                  </w:pPr>
                  <w:r w:rsidRPr="00FE322B">
                    <w:rPr>
                      <w:rFonts w:eastAsia="ヒラギノ明朝 Pro W3"/>
                      <w:b/>
                      <w:sz w:val="18"/>
                      <w:szCs w:val="18"/>
                    </w:rPr>
                    <w:t>İthal lisansı geçerlilik süresi</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b/>
                      <w:sz w:val="18"/>
                      <w:szCs w:val="18"/>
                    </w:rPr>
                    <w:t>MADDE 7 –</w:t>
                  </w:r>
                  <w:r w:rsidRPr="00FE322B">
                    <w:rPr>
                      <w:rFonts w:eastAsia="ヒラギノ明朝 Pro W3"/>
                      <w:sz w:val="18"/>
                      <w:szCs w:val="18"/>
                    </w:rPr>
                    <w:t xml:space="preserve"> (1) Bu Tebliğ çerçevesinde yapılacak ithalat için Ekonomi Bakanlığınca (İthalat Genel Müdürlüğü) düzenlenen ithal lisansları, 31/1/2015 tarihine kadar (bu tarih dâhil) geçerli olup, bu süre uzatılmaz.</w:t>
                  </w:r>
                </w:p>
                <w:p w:rsidR="00FE322B" w:rsidRPr="00FE322B" w:rsidRDefault="00FE322B" w:rsidP="00FE322B">
                  <w:pPr>
                    <w:tabs>
                      <w:tab w:val="left" w:pos="566"/>
                    </w:tabs>
                    <w:spacing w:line="240" w:lineRule="exact"/>
                    <w:ind w:firstLine="566"/>
                    <w:jc w:val="both"/>
                    <w:rPr>
                      <w:rFonts w:eastAsia="ヒラギノ明朝 Pro W3"/>
                      <w:b/>
                      <w:sz w:val="18"/>
                      <w:szCs w:val="18"/>
                    </w:rPr>
                  </w:pPr>
                  <w:r w:rsidRPr="00FE322B">
                    <w:rPr>
                      <w:rFonts w:eastAsia="ヒラギノ明朝 Pro W3"/>
                      <w:b/>
                      <w:sz w:val="18"/>
                      <w:szCs w:val="18"/>
                    </w:rPr>
                    <w:t>İthal lisansı devri</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b/>
                      <w:sz w:val="18"/>
                      <w:szCs w:val="18"/>
                    </w:rPr>
                    <w:t>MADDE 8 –</w:t>
                  </w:r>
                  <w:r w:rsidRPr="00FE322B">
                    <w:rPr>
                      <w:rFonts w:eastAsia="ヒラギノ明朝 Pro W3"/>
                      <w:sz w:val="18"/>
                      <w:szCs w:val="18"/>
                    </w:rPr>
                    <w:t xml:space="preserve"> (1) İthal lisansı üçüncü kişilere devredilemez.</w:t>
                  </w:r>
                </w:p>
                <w:p w:rsidR="00FE322B" w:rsidRPr="00FE322B" w:rsidRDefault="00FE322B" w:rsidP="00FE322B">
                  <w:pPr>
                    <w:tabs>
                      <w:tab w:val="left" w:pos="566"/>
                    </w:tabs>
                    <w:spacing w:line="240" w:lineRule="exact"/>
                    <w:ind w:firstLine="566"/>
                    <w:jc w:val="both"/>
                    <w:rPr>
                      <w:rFonts w:eastAsia="ヒラギノ明朝 Pro W3"/>
                      <w:b/>
                      <w:sz w:val="18"/>
                      <w:szCs w:val="18"/>
                    </w:rPr>
                  </w:pPr>
                  <w:r w:rsidRPr="00FE322B">
                    <w:rPr>
                      <w:rFonts w:eastAsia="ヒラギノ明朝 Pro W3"/>
                      <w:b/>
                      <w:sz w:val="18"/>
                      <w:szCs w:val="18"/>
                    </w:rPr>
                    <w:t>İthal lisansının zayii</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b/>
                      <w:sz w:val="18"/>
                      <w:szCs w:val="18"/>
                    </w:rPr>
                    <w:t>MADDE 9 –</w:t>
                  </w:r>
                  <w:r w:rsidRPr="00FE322B">
                    <w:rPr>
                      <w:rFonts w:eastAsia="ヒラギノ明朝 Pro W3"/>
                      <w:sz w:val="18"/>
                      <w:szCs w:val="18"/>
                    </w:rPr>
                    <w:t xml:space="preserve"> (1) İthal lisanslarının kaybolması, kullanılamaz hale gelmesi ve bu duruma ilişkin gazete ilanı ve/veya bu hususu belgelendiren ilgili belgeler ile başvurulması halinde, Ekonomi Bakanlığınca (İthalat Genel Müdürlüğü) üzerine "Zayi olmasından dolayı yeniden düzenlenmiştir" şeklinde şerh düşülerek, ithal lisansının kullanılmamış olan kısmı için yeni ithal lisansı düzenlenebilir.</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sz w:val="18"/>
                      <w:szCs w:val="18"/>
                    </w:rPr>
                    <w:t>(2) Tamamı kullanılmış bulunan bir ithal lisansının zayii halinde, zayie ilişkin gazete ilanı ve/veya bu hususu belgelendiren ilgili belgeler ile başvurulması durumunda, ithal lisansı firma nüshasının aslının Bakanlığa iade edilmesi şartı aranmaz.</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sz w:val="18"/>
                      <w:szCs w:val="18"/>
                    </w:rPr>
                    <w:t>(3) Lisansın zayi olması durumunda yapılan işlemler, Ekonomi Bakanlığınca (İthalat Genel Müdürlüğü) Gümrük ve Ticaret Bakanlığına (Gümrükler Genel Müdürlüğü) ve firmaya bildirilir.</w:t>
                  </w:r>
                </w:p>
                <w:p w:rsidR="00FE322B" w:rsidRPr="00FE322B" w:rsidRDefault="00FE322B" w:rsidP="00FE322B">
                  <w:pPr>
                    <w:tabs>
                      <w:tab w:val="left" w:pos="566"/>
                    </w:tabs>
                    <w:spacing w:line="240" w:lineRule="exact"/>
                    <w:ind w:firstLine="566"/>
                    <w:jc w:val="both"/>
                    <w:rPr>
                      <w:rFonts w:eastAsia="ヒラギノ明朝 Pro W3"/>
                      <w:b/>
                      <w:sz w:val="18"/>
                      <w:szCs w:val="18"/>
                    </w:rPr>
                  </w:pPr>
                  <w:r w:rsidRPr="00FE322B">
                    <w:rPr>
                      <w:rFonts w:eastAsia="ヒラギノ明朝 Pro W3"/>
                      <w:b/>
                      <w:sz w:val="18"/>
                      <w:szCs w:val="18"/>
                    </w:rPr>
                    <w:t>İthal lisansının revizesi</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b/>
                      <w:sz w:val="18"/>
                      <w:szCs w:val="18"/>
                    </w:rPr>
                    <w:t>MADDE 10 –</w:t>
                  </w:r>
                  <w:r w:rsidRPr="00FE322B">
                    <w:rPr>
                      <w:rFonts w:eastAsia="ヒラギノ明朝 Pro W3"/>
                      <w:sz w:val="18"/>
                      <w:szCs w:val="18"/>
                    </w:rPr>
                    <w:t xml:space="preserve"> (1) İthal lisansının üzerinde kayıtlı hususlara ilişkin olarak ihtiyaç olması halinde, Ekonomi Bakanlığı (İthalat Genel Müdürlüğü) resen değişiklik yapabilir. Adına ithal lisansı düzenlenen firma tarafından, ithal lisansı firma nüshasının aslı ve değişiklik talebine ilişkin ilgili bilgi ve belgeler ile birlikte başvurulması halinde, ithal lisansına ilişkin revize talepleri Ekonomi Bakanlığınca (İthalat Genel Müdürlüğü) sonuçlandırılır. Söz konusu başvurunun, adına ithal lisansı düzenlenmiş olan firmayı temsil ve ilzama yetkili temsilci veya temsilciler tarafından yapılması gerekmektedir.</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sz w:val="18"/>
                      <w:szCs w:val="18"/>
                    </w:rPr>
                    <w:t>(2) İthal lisansının miktarının artırılmasına ve lisans süresinin uzatılmasına yönelik talepler değerlendirmeye alınmaz.</w:t>
                  </w:r>
                </w:p>
                <w:p w:rsidR="00FE322B" w:rsidRPr="00FE322B" w:rsidRDefault="00FE322B" w:rsidP="00FE322B">
                  <w:pPr>
                    <w:tabs>
                      <w:tab w:val="left" w:pos="566"/>
                    </w:tabs>
                    <w:spacing w:line="240" w:lineRule="exact"/>
                    <w:ind w:firstLine="566"/>
                    <w:jc w:val="both"/>
                    <w:rPr>
                      <w:rFonts w:eastAsia="ヒラギノ明朝 Pro W3"/>
                      <w:b/>
                      <w:sz w:val="18"/>
                      <w:szCs w:val="18"/>
                    </w:rPr>
                  </w:pPr>
                  <w:r w:rsidRPr="00FE322B">
                    <w:rPr>
                      <w:rFonts w:eastAsia="ヒラギノ明朝 Pro W3"/>
                      <w:b/>
                      <w:sz w:val="18"/>
                      <w:szCs w:val="18"/>
                    </w:rPr>
                    <w:t>İthal lisansının iadesi</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b/>
                      <w:sz w:val="18"/>
                      <w:szCs w:val="18"/>
                    </w:rPr>
                    <w:t xml:space="preserve">MADDE 11 – </w:t>
                  </w:r>
                  <w:r w:rsidRPr="00FE322B">
                    <w:rPr>
                      <w:rFonts w:eastAsia="ヒラギノ明朝 Pro W3"/>
                      <w:sz w:val="18"/>
                      <w:szCs w:val="18"/>
                    </w:rPr>
                    <w:t>(1) İthal lisansının geçerlilik süresinin bitmesini müteakip, on iş günü içerisinde firmalara verilen nüshanın aslı Ekonomi Bakanlığına (İthalat Genel Müdürlüğü) iadesi zorunludur.</w:t>
                  </w:r>
                </w:p>
                <w:p w:rsidR="00FE322B" w:rsidRPr="00FE322B" w:rsidRDefault="00FE322B" w:rsidP="00FE322B">
                  <w:pPr>
                    <w:tabs>
                      <w:tab w:val="left" w:pos="566"/>
                    </w:tabs>
                    <w:spacing w:line="240" w:lineRule="exact"/>
                    <w:ind w:firstLine="566"/>
                    <w:jc w:val="both"/>
                    <w:rPr>
                      <w:rFonts w:eastAsia="ヒラギノ明朝 Pro W3"/>
                      <w:b/>
                      <w:sz w:val="18"/>
                      <w:szCs w:val="18"/>
                    </w:rPr>
                  </w:pPr>
                  <w:r w:rsidRPr="00FE322B">
                    <w:rPr>
                      <w:rFonts w:eastAsia="ヒラギノ明朝 Pro W3"/>
                      <w:b/>
                      <w:sz w:val="18"/>
                      <w:szCs w:val="18"/>
                    </w:rPr>
                    <w:t>Yetki</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b/>
                      <w:sz w:val="18"/>
                      <w:szCs w:val="18"/>
                    </w:rPr>
                    <w:t>MADDE 12 –</w:t>
                  </w:r>
                  <w:r w:rsidRPr="00FE322B">
                    <w:rPr>
                      <w:rFonts w:eastAsia="ヒラギノ明朝 Pro W3"/>
                      <w:sz w:val="18"/>
                      <w:szCs w:val="18"/>
                    </w:rPr>
                    <w:t xml:space="preserve"> (1) Bu Tebliğde yer alan hususlarda uygulamaya yönelik önlem almaya, düzenleme yapmaya, gerekli durumlarda inceleme yapma veya yaptırmaya Ekonomi Bakanlığı (İthalat Genel Müdürlüğü) yetkilidir.</w:t>
                  </w:r>
                </w:p>
                <w:p w:rsidR="00FE322B" w:rsidRPr="00FE322B" w:rsidRDefault="00FE322B" w:rsidP="00FE322B">
                  <w:pPr>
                    <w:tabs>
                      <w:tab w:val="left" w:pos="566"/>
                    </w:tabs>
                    <w:spacing w:line="240" w:lineRule="exact"/>
                    <w:ind w:firstLine="566"/>
                    <w:jc w:val="both"/>
                    <w:rPr>
                      <w:rFonts w:eastAsia="ヒラギノ明朝 Pro W3"/>
                      <w:b/>
                      <w:sz w:val="18"/>
                      <w:szCs w:val="18"/>
                    </w:rPr>
                  </w:pPr>
                  <w:r w:rsidRPr="00FE322B">
                    <w:rPr>
                      <w:rFonts w:eastAsia="ヒラギノ明朝 Pro W3"/>
                      <w:b/>
                      <w:sz w:val="18"/>
                      <w:szCs w:val="18"/>
                    </w:rPr>
                    <w:t>Diğer Mevzuat Hükümleri</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b/>
                      <w:sz w:val="18"/>
                      <w:szCs w:val="18"/>
                    </w:rPr>
                    <w:t xml:space="preserve">MADDE 13 – </w:t>
                  </w:r>
                  <w:r w:rsidRPr="00FE322B">
                    <w:rPr>
                      <w:rFonts w:eastAsia="ヒラギノ明朝 Pro W3"/>
                      <w:sz w:val="18"/>
                      <w:szCs w:val="18"/>
                    </w:rPr>
                    <w:t>(1) Bu Tebliğ, ithal lisansı kapsamında ithalatı gerçekleşecek eşyanın ithalatının tabi olduğu diğer mevzuat hükümlerinin uygulanmasını engellemez.</w:t>
                  </w:r>
                </w:p>
                <w:p w:rsidR="00FE322B" w:rsidRPr="00FE322B" w:rsidRDefault="00FE322B" w:rsidP="00FE322B">
                  <w:pPr>
                    <w:tabs>
                      <w:tab w:val="left" w:pos="566"/>
                    </w:tabs>
                    <w:spacing w:line="240" w:lineRule="exact"/>
                    <w:ind w:firstLine="566"/>
                    <w:jc w:val="both"/>
                    <w:rPr>
                      <w:rFonts w:eastAsia="ヒラギノ明朝 Pro W3"/>
                      <w:b/>
                      <w:sz w:val="18"/>
                      <w:szCs w:val="18"/>
                    </w:rPr>
                  </w:pPr>
                  <w:r w:rsidRPr="00FE322B">
                    <w:rPr>
                      <w:rFonts w:eastAsia="ヒラギノ明朝 Pro W3"/>
                      <w:b/>
                      <w:sz w:val="18"/>
                      <w:szCs w:val="18"/>
                    </w:rPr>
                    <w:t>Yürürlük</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b/>
                      <w:sz w:val="18"/>
                      <w:szCs w:val="18"/>
                    </w:rPr>
                    <w:t>MADDE 14 –</w:t>
                  </w:r>
                  <w:r w:rsidRPr="00FE322B">
                    <w:rPr>
                      <w:rFonts w:eastAsia="ヒラギノ明朝 Pro W3"/>
                      <w:sz w:val="18"/>
                      <w:szCs w:val="18"/>
                    </w:rPr>
                    <w:t xml:space="preserve"> (1) Bu Tebliğ yayımı tarihinde yürürlüğe girer.</w:t>
                  </w:r>
                </w:p>
                <w:p w:rsidR="00FE322B" w:rsidRPr="00FE322B" w:rsidRDefault="00FE322B" w:rsidP="00FE322B">
                  <w:pPr>
                    <w:tabs>
                      <w:tab w:val="left" w:pos="566"/>
                    </w:tabs>
                    <w:spacing w:line="240" w:lineRule="exact"/>
                    <w:ind w:firstLine="566"/>
                    <w:jc w:val="both"/>
                    <w:rPr>
                      <w:rFonts w:eastAsia="ヒラギノ明朝 Pro W3"/>
                      <w:b/>
                      <w:sz w:val="18"/>
                      <w:szCs w:val="18"/>
                    </w:rPr>
                  </w:pPr>
                  <w:r w:rsidRPr="00FE322B">
                    <w:rPr>
                      <w:rFonts w:eastAsia="ヒラギノ明朝 Pro W3"/>
                      <w:b/>
                      <w:sz w:val="18"/>
                      <w:szCs w:val="18"/>
                    </w:rPr>
                    <w:t>Yürütme</w:t>
                  </w:r>
                </w:p>
                <w:p w:rsidR="00FE322B" w:rsidRPr="00FE322B" w:rsidRDefault="00FE322B" w:rsidP="00FE322B">
                  <w:pPr>
                    <w:tabs>
                      <w:tab w:val="left" w:pos="566"/>
                    </w:tabs>
                    <w:spacing w:line="240" w:lineRule="exact"/>
                    <w:ind w:firstLine="566"/>
                    <w:jc w:val="both"/>
                    <w:rPr>
                      <w:rFonts w:eastAsia="ヒラギノ明朝 Pro W3"/>
                      <w:sz w:val="18"/>
                      <w:szCs w:val="18"/>
                    </w:rPr>
                  </w:pPr>
                  <w:r w:rsidRPr="00FE322B">
                    <w:rPr>
                      <w:rFonts w:eastAsia="ヒラギノ明朝 Pro W3"/>
                      <w:b/>
                      <w:sz w:val="18"/>
                      <w:szCs w:val="18"/>
                    </w:rPr>
                    <w:t>MADDE 15 –</w:t>
                  </w:r>
                  <w:r w:rsidRPr="00FE322B">
                    <w:rPr>
                      <w:rFonts w:eastAsia="ヒラギノ明朝 Pro W3"/>
                      <w:sz w:val="18"/>
                      <w:szCs w:val="18"/>
                    </w:rPr>
                    <w:t xml:space="preserve"> (1) Bu Tebliğ hükümlerini Ekonomi Bakanı yürütür.</w:t>
                  </w:r>
                </w:p>
                <w:p w:rsidR="00FE322B" w:rsidRPr="00FE322B" w:rsidRDefault="00FE322B" w:rsidP="00FE322B">
                  <w:pPr>
                    <w:tabs>
                      <w:tab w:val="left" w:pos="566"/>
                    </w:tabs>
                    <w:spacing w:line="240" w:lineRule="exact"/>
                    <w:jc w:val="center"/>
                    <w:rPr>
                      <w:rFonts w:eastAsia="ヒラギノ明朝 Pro W3"/>
                      <w:sz w:val="18"/>
                      <w:szCs w:val="18"/>
                    </w:rPr>
                  </w:pPr>
                </w:p>
                <w:p w:rsidR="00FE322B" w:rsidRPr="00FE322B" w:rsidRDefault="00FE322B" w:rsidP="00FE322B">
                  <w:pPr>
                    <w:tabs>
                      <w:tab w:val="left" w:pos="566"/>
                    </w:tabs>
                    <w:spacing w:line="240" w:lineRule="exact"/>
                    <w:jc w:val="center"/>
                    <w:rPr>
                      <w:rFonts w:eastAsia="ヒラギノ明朝 Pro W3"/>
                      <w:sz w:val="18"/>
                      <w:szCs w:val="18"/>
                    </w:rPr>
                  </w:pPr>
                </w:p>
                <w:p w:rsidR="00FE322B" w:rsidRPr="00FE322B" w:rsidRDefault="00FE322B" w:rsidP="00FE322B">
                  <w:pPr>
                    <w:tabs>
                      <w:tab w:val="left" w:pos="566"/>
                    </w:tabs>
                    <w:spacing w:line="240" w:lineRule="exact"/>
                    <w:rPr>
                      <w:rFonts w:eastAsia="ヒラギノ明朝 Pro W3"/>
                      <w:b/>
                      <w:bCs/>
                      <w:sz w:val="18"/>
                      <w:szCs w:val="18"/>
                    </w:rPr>
                  </w:pPr>
                  <w:hyperlink r:id="rId4" w:history="1">
                    <w:r w:rsidRPr="00FE322B">
                      <w:rPr>
                        <w:rFonts w:eastAsia="ヒラギノ明朝 Pro W3"/>
                        <w:b/>
                        <w:bCs/>
                        <w:color w:val="0000FF"/>
                        <w:sz w:val="18"/>
                      </w:rPr>
                      <w:t>Ekleri için tıklayınız.</w:t>
                    </w:r>
                  </w:hyperlink>
                </w:p>
                <w:p w:rsidR="00FE322B" w:rsidRPr="00FE322B" w:rsidRDefault="00FE322B" w:rsidP="00FE322B">
                  <w:pPr>
                    <w:spacing w:before="100" w:beforeAutospacing="1" w:after="100" w:afterAutospacing="1"/>
                    <w:jc w:val="center"/>
                    <w:rPr>
                      <w:rFonts w:ascii="Arial" w:hAnsi="Arial" w:cs="Arial"/>
                      <w:b/>
                      <w:color w:val="000080"/>
                      <w:sz w:val="18"/>
                      <w:szCs w:val="18"/>
                    </w:rPr>
                  </w:pPr>
                </w:p>
              </w:tc>
            </w:tr>
          </w:tbl>
          <w:p w:rsidR="00FE322B" w:rsidRPr="00FE322B" w:rsidRDefault="00FE322B" w:rsidP="00FE322B">
            <w:pPr>
              <w:jc w:val="center"/>
            </w:pPr>
          </w:p>
        </w:tc>
      </w:tr>
    </w:tbl>
    <w:p w:rsidR="00FE322B" w:rsidRPr="00FE322B" w:rsidRDefault="00FE322B" w:rsidP="00FE322B">
      <w:pPr>
        <w:spacing w:after="0" w:line="240" w:lineRule="auto"/>
        <w:jc w:val="center"/>
        <w:rPr>
          <w:rFonts w:ascii="Times New Roman" w:eastAsia="Times New Roman" w:hAnsi="Times New Roman" w:cs="Times New Roman"/>
          <w:sz w:val="24"/>
          <w:szCs w:val="24"/>
          <w:lang w:eastAsia="tr-TR"/>
        </w:rPr>
      </w:pPr>
    </w:p>
    <w:p w:rsidR="00AA3247" w:rsidRDefault="00AA3247"/>
    <w:sectPr w:rsidR="00AA3247" w:rsidSect="00AA32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322B"/>
    <w:rsid w:val="00AA3247"/>
    <w:rsid w:val="00FE32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322B"/>
    <w:rPr>
      <w:color w:val="0000FF"/>
      <w:u w:val="single"/>
    </w:rPr>
  </w:style>
  <w:style w:type="paragraph" w:styleId="NormalWeb">
    <w:name w:val="Normal (Web)"/>
    <w:basedOn w:val="Normal"/>
    <w:rsid w:val="00FE32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FE322B"/>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FE322B"/>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FE322B"/>
    <w:pPr>
      <w:tabs>
        <w:tab w:val="left" w:pos="566"/>
      </w:tabs>
      <w:spacing w:after="0" w:line="240" w:lineRule="auto"/>
      <w:jc w:val="both"/>
    </w:pPr>
    <w:rPr>
      <w:rFonts w:ascii="Times New Roman" w:eastAsia="ヒラギノ明朝 Pro W3" w:hAnsi="Times" w:cs="Times New Roman"/>
      <w:sz w:val="19"/>
      <w:szCs w:val="20"/>
    </w:rPr>
  </w:style>
  <w:style w:type="table" w:customStyle="1" w:styleId="NormalTablo">
    <w:name w:val="Normal Tablo"/>
    <w:uiPriority w:val="99"/>
    <w:semiHidden/>
    <w:qFormat/>
    <w:rsid w:val="00FE322B"/>
    <w:pPr>
      <w:spacing w:after="0" w:line="240" w:lineRule="auto"/>
    </w:pPr>
    <w:rPr>
      <w:rFonts w:ascii="Times New Roman" w:eastAsia="Times New Roman" w:hAnsi="Times New Roman" w:cs="Times New Roman"/>
      <w:sz w:val="20"/>
      <w:szCs w:val="20"/>
      <w:lang w:eastAsia="tr-TR"/>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2738922">
      <w:bodyDiv w:val="1"/>
      <w:marLeft w:val="0"/>
      <w:marRight w:val="0"/>
      <w:marTop w:val="0"/>
      <w:marBottom w:val="0"/>
      <w:divBdr>
        <w:top w:val="none" w:sz="0" w:space="0" w:color="auto"/>
        <w:left w:val="none" w:sz="0" w:space="0" w:color="auto"/>
        <w:bottom w:val="none" w:sz="0" w:space="0" w:color="auto"/>
        <w:right w:val="none" w:sz="0" w:space="0" w:color="auto"/>
      </w:divBdr>
      <w:divsChild>
        <w:div w:id="731776905">
          <w:marLeft w:val="0"/>
          <w:marRight w:val="0"/>
          <w:marTop w:val="0"/>
          <w:marBottom w:val="0"/>
          <w:divBdr>
            <w:top w:val="none" w:sz="0" w:space="0" w:color="auto"/>
            <w:left w:val="none" w:sz="0" w:space="0" w:color="auto"/>
            <w:bottom w:val="none" w:sz="0" w:space="0" w:color="auto"/>
            <w:right w:val="none" w:sz="0" w:space="0" w:color="auto"/>
          </w:divBdr>
          <w:divsChild>
            <w:div w:id="10121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4/09/20140926-8-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dc:creator>
  <cp:lastModifiedBy>guls</cp:lastModifiedBy>
  <cp:revision>1</cp:revision>
  <dcterms:created xsi:type="dcterms:W3CDTF">2014-09-26T06:32:00Z</dcterms:created>
  <dcterms:modified xsi:type="dcterms:W3CDTF">2014-09-26T06:33:00Z</dcterms:modified>
</cp:coreProperties>
</file>