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4D2766" w:rsidRPr="004D2766" w:rsidTr="004D2766">
        <w:trPr>
          <w:jc w:val="center"/>
        </w:trPr>
        <w:tc>
          <w:tcPr>
            <w:tcW w:w="9104" w:type="dxa"/>
            <w:hideMark/>
          </w:tcPr>
          <w:tbl>
            <w:tblPr>
              <w:tblW w:w="8789" w:type="dxa"/>
              <w:jc w:val="center"/>
              <w:tblLook w:val="01E0"/>
            </w:tblPr>
            <w:tblGrid>
              <w:gridCol w:w="2931"/>
              <w:gridCol w:w="2931"/>
              <w:gridCol w:w="2927"/>
            </w:tblGrid>
            <w:tr w:rsidR="004D2766" w:rsidRPr="004D2766">
              <w:trPr>
                <w:trHeight w:val="317"/>
                <w:jc w:val="center"/>
              </w:trPr>
              <w:tc>
                <w:tcPr>
                  <w:tcW w:w="2931" w:type="dxa"/>
                  <w:tcBorders>
                    <w:top w:val="nil"/>
                    <w:left w:val="nil"/>
                    <w:bottom w:val="single" w:sz="4" w:space="0" w:color="660066"/>
                    <w:right w:val="nil"/>
                  </w:tcBorders>
                  <w:vAlign w:val="center"/>
                  <w:hideMark/>
                </w:tcPr>
                <w:p w:rsidR="004D2766" w:rsidRPr="004D2766" w:rsidRDefault="004D2766" w:rsidP="004D2766">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4D2766">
                    <w:rPr>
                      <w:rFonts w:ascii="Arial" w:eastAsia="Times New Roman" w:hAnsi="Arial" w:cs="Arial"/>
                      <w:sz w:val="16"/>
                      <w:szCs w:val="16"/>
                      <w:lang w:eastAsia="tr-TR"/>
                    </w:rPr>
                    <w:t xml:space="preserve">14 Aralık </w:t>
                  </w:r>
                  <w:proofErr w:type="gramStart"/>
                  <w:r w:rsidRPr="004D2766">
                    <w:rPr>
                      <w:rFonts w:ascii="Arial" w:eastAsia="Times New Roman" w:hAnsi="Arial" w:cs="Arial"/>
                      <w:sz w:val="16"/>
                      <w:szCs w:val="16"/>
                      <w:lang w:eastAsia="tr-TR"/>
                    </w:rPr>
                    <w:t>2013  CUMARTESİ</w:t>
                  </w:r>
                  <w:proofErr w:type="gramEnd"/>
                </w:p>
              </w:tc>
              <w:tc>
                <w:tcPr>
                  <w:tcW w:w="2931" w:type="dxa"/>
                  <w:tcBorders>
                    <w:top w:val="nil"/>
                    <w:left w:val="nil"/>
                    <w:bottom w:val="single" w:sz="4" w:space="0" w:color="660066"/>
                    <w:right w:val="nil"/>
                  </w:tcBorders>
                  <w:vAlign w:val="center"/>
                  <w:hideMark/>
                </w:tcPr>
                <w:p w:rsidR="004D2766" w:rsidRPr="004D2766" w:rsidRDefault="004D2766" w:rsidP="004D2766">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4D2766">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4D2766" w:rsidRPr="004D2766" w:rsidRDefault="004D2766" w:rsidP="004D2766">
                  <w:pPr>
                    <w:spacing w:before="100" w:beforeAutospacing="1" w:after="100" w:afterAutospacing="1" w:line="240" w:lineRule="auto"/>
                    <w:jc w:val="right"/>
                    <w:rPr>
                      <w:rFonts w:ascii="Arial" w:eastAsia="Times New Roman" w:hAnsi="Arial" w:cs="Arial"/>
                      <w:b/>
                      <w:sz w:val="16"/>
                      <w:szCs w:val="16"/>
                      <w:lang w:eastAsia="tr-TR"/>
                    </w:rPr>
                  </w:pPr>
                  <w:proofErr w:type="gramStart"/>
                  <w:r w:rsidRPr="004D2766">
                    <w:rPr>
                      <w:rFonts w:ascii="Arial" w:eastAsia="Times New Roman" w:hAnsi="Arial" w:cs="Arial"/>
                      <w:sz w:val="16"/>
                      <w:szCs w:val="16"/>
                      <w:lang w:eastAsia="tr-TR"/>
                    </w:rPr>
                    <w:t>Sayı : 28851</w:t>
                  </w:r>
                  <w:proofErr w:type="gramEnd"/>
                </w:p>
              </w:tc>
            </w:tr>
            <w:tr w:rsidR="004D2766" w:rsidRPr="004D2766">
              <w:trPr>
                <w:trHeight w:val="480"/>
                <w:jc w:val="center"/>
              </w:trPr>
              <w:tc>
                <w:tcPr>
                  <w:tcW w:w="8789" w:type="dxa"/>
                  <w:gridSpan w:val="3"/>
                  <w:vAlign w:val="center"/>
                  <w:hideMark/>
                </w:tcPr>
                <w:p w:rsidR="004D2766" w:rsidRPr="004D2766" w:rsidRDefault="004D2766" w:rsidP="004D2766">
                  <w:pPr>
                    <w:spacing w:before="100" w:beforeAutospacing="1" w:after="100" w:afterAutospacing="1" w:line="240" w:lineRule="auto"/>
                    <w:jc w:val="center"/>
                    <w:rPr>
                      <w:rFonts w:ascii="Arial" w:eastAsia="Times New Roman" w:hAnsi="Arial" w:cs="Arial"/>
                      <w:b/>
                      <w:color w:val="000080"/>
                      <w:sz w:val="18"/>
                      <w:szCs w:val="18"/>
                      <w:lang w:eastAsia="tr-TR"/>
                    </w:rPr>
                  </w:pPr>
                  <w:r w:rsidRPr="004D2766">
                    <w:rPr>
                      <w:rFonts w:ascii="Arial" w:eastAsia="Times New Roman" w:hAnsi="Arial" w:cs="Arial"/>
                      <w:b/>
                      <w:color w:val="000080"/>
                      <w:sz w:val="18"/>
                      <w:szCs w:val="18"/>
                      <w:lang w:eastAsia="tr-TR"/>
                    </w:rPr>
                    <w:t>TEBLİĞ</w:t>
                  </w:r>
                </w:p>
              </w:tc>
            </w:tr>
            <w:tr w:rsidR="004D2766" w:rsidRPr="004D2766">
              <w:trPr>
                <w:trHeight w:val="480"/>
                <w:jc w:val="center"/>
              </w:trPr>
              <w:tc>
                <w:tcPr>
                  <w:tcW w:w="8789" w:type="dxa"/>
                  <w:gridSpan w:val="3"/>
                  <w:vAlign w:val="center"/>
                </w:tcPr>
                <w:p w:rsidR="004D2766" w:rsidRPr="004D2766" w:rsidRDefault="004D2766" w:rsidP="004D2766">
                  <w:pPr>
                    <w:tabs>
                      <w:tab w:val="left" w:pos="566"/>
                    </w:tabs>
                    <w:spacing w:after="0" w:line="240" w:lineRule="exact"/>
                    <w:ind w:firstLine="566"/>
                    <w:rPr>
                      <w:rFonts w:ascii="Times New Roman" w:eastAsia="ヒラギノ明朝 Pro W3" w:hAnsi="Times New Roman" w:cs="Times New Roman"/>
                      <w:sz w:val="18"/>
                      <w:szCs w:val="18"/>
                      <w:u w:val="single"/>
                    </w:rPr>
                  </w:pPr>
                  <w:r w:rsidRPr="004D2766">
                    <w:rPr>
                      <w:rFonts w:ascii="Times New Roman" w:eastAsia="ヒラギノ明朝 Pro W3" w:hAnsi="Times New Roman" w:cs="Times New Roman"/>
                      <w:sz w:val="18"/>
                      <w:szCs w:val="18"/>
                      <w:u w:val="single"/>
                    </w:rPr>
                    <w:t>Ekonomi Bakanlığından:</w:t>
                  </w:r>
                </w:p>
                <w:p w:rsidR="004D2766" w:rsidRPr="004D2766" w:rsidRDefault="004D2766" w:rsidP="004D2766">
                  <w:pPr>
                    <w:spacing w:after="0" w:line="240" w:lineRule="exact"/>
                    <w:jc w:val="center"/>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İTHALATTA KORUNMA ÖNLEMLERİNE İLİŞKİN TEBLİĞ</w:t>
                  </w:r>
                </w:p>
                <w:p w:rsidR="004D2766" w:rsidRPr="004D2766" w:rsidRDefault="004D2766" w:rsidP="004D2766">
                  <w:pPr>
                    <w:spacing w:after="0" w:line="240" w:lineRule="exact"/>
                    <w:jc w:val="center"/>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(TEBLİĞ NO: 2013/10)</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Başvuru</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1 –</w:t>
                  </w:r>
                  <w:r w:rsidRPr="004D2766">
                    <w:rPr>
                      <w:rFonts w:ascii="Times New Roman" w:eastAsia="ヒラギノ明朝 Pro W3" w:hAnsi="Times New Roman" w:cs="Times New Roman"/>
                      <w:sz w:val="18"/>
                      <w:szCs w:val="18"/>
                    </w:rPr>
                    <w:t xml:space="preserve"> (1) Yerli üreticiler tarafından, 4202 Gümrük Tarife Pozisyonunda (GTP) sınıflandırılan seyahat çantaları, el çantaları ve benzeri mahfazaların ithalatında uygulanmakta olan korunma önleminin süresinin uzatılması talebiyle Ekonomi Bakanlığı (Bakanlık) İthalat Genel Müdürlüğüne (Genel Müdürlük) başvuruda bulunulmuştur. Söz konusu başvurunun gizli olmayan özetine Bakanlığın internet sitesi (http://www.ekonomi.gov.tr) “Ticaret Politikası Savunma Araçları” sayfasında yer alan “Korunma Önlemleri” bağlantısından ulaşılabilmektedir.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Ön inceleme</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2 –</w:t>
                  </w:r>
                  <w:r w:rsidRPr="004D2766">
                    <w:rPr>
                      <w:rFonts w:ascii="Times New Roman" w:eastAsia="ヒラギノ明朝 Pro W3" w:hAnsi="Times New Roman" w:cs="Times New Roman"/>
                      <w:sz w:val="18"/>
                      <w:szCs w:val="18"/>
                    </w:rPr>
                    <w:t xml:space="preserve"> (1) Başvuru konusu eşya ithalatı, her bir ürün grubunda 2011 yılında bir önceki yıla oranla artış göstermiş, 2012 yılında ise yine tüm ürün gruplarında bir önceki yıla göre azalmıştır. 2013 yılının ilk 9 ayında ise, bir önceki yılın aynı dönemine göre ithalat artış göstermiştir.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(2) Başvuru konusu eşya ithalatında yürürlüğe konulan korunma önlemi uygulamasını müteakip yerli üreticilerin üretim, kapasite ve istihdam gibi göstergelerinin düzelme eğiliminde olduğu görülmüştür.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(3) Yerli üreticilerin yurtiçi satışlar ve kârlılık gibi göstergelerinde dalgalanmalar olduğu anlaşılmıştır.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Karar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3 –</w:t>
                  </w:r>
                  <w:r w:rsidRPr="004D2766">
                    <w:rPr>
                      <w:rFonts w:ascii="Times New Roman" w:eastAsia="ヒラギノ明朝 Pro W3" w:hAnsi="Times New Roman" w:cs="Times New Roman"/>
                      <w:sz w:val="18"/>
                      <w:szCs w:val="18"/>
                    </w:rPr>
                    <w:t xml:space="preserve"> (1) İthalatta Korunma Önlemlerini Değerlendirme Kurulu, yapılan başvuruyla ilgili olarak </w:t>
                  </w:r>
                  <w:proofErr w:type="gramStart"/>
                  <w:r w:rsidRPr="004D2766">
                    <w:rPr>
                      <w:rFonts w:ascii="Times New Roman" w:eastAsia="ヒラギノ明朝 Pro W3" w:hAnsi="Times New Roman" w:cs="Times New Roman"/>
                      <w:sz w:val="18"/>
                      <w:szCs w:val="18"/>
                    </w:rPr>
                    <w:t>8/6/2004</w:t>
                  </w:r>
                  <w:proofErr w:type="gramEnd"/>
                  <w:r w:rsidRPr="004D2766">
                    <w:rPr>
                      <w:rFonts w:ascii="Times New Roman" w:eastAsia="ヒラギノ明朝 Pro W3" w:hAnsi="Times New Roman" w:cs="Times New Roman"/>
                      <w:sz w:val="18"/>
                      <w:szCs w:val="18"/>
                    </w:rPr>
                    <w:t xml:space="preserve"> tarihli ve 25486 sayılı Resmî Gazete’de yayımlanan İthalatta Korunma Önlemleri Yönetmeliği (Yönetmelik) hükümleri çerçevesinde 4202 </w:t>
                  </w:r>
                  <w:proofErr w:type="spellStart"/>
                  <w:r w:rsidRPr="004D2766">
                    <w:rPr>
                      <w:rFonts w:ascii="Times New Roman" w:eastAsia="ヒラギノ明朝 Pro W3" w:hAnsi="Times New Roman" w:cs="Times New Roman"/>
                      <w:sz w:val="18"/>
                      <w:szCs w:val="18"/>
                    </w:rPr>
                    <w:t>GTP’inde</w:t>
                  </w:r>
                  <w:proofErr w:type="spellEnd"/>
                  <w:r w:rsidRPr="004D2766">
                    <w:rPr>
                      <w:rFonts w:ascii="Times New Roman" w:eastAsia="ヒラギノ明朝 Pro W3" w:hAnsi="Times New Roman" w:cs="Times New Roman"/>
                      <w:sz w:val="18"/>
                      <w:szCs w:val="18"/>
                    </w:rPr>
                    <w:t xml:space="preserve"> sınıflandırılan seyahat çantaları, el çantaları ve benzeri mahfazaların ithalatında uygulanmakta olan korunma önleminin etkilerinin değerlendirilmesi ve söz konusu önlem uygulamasının devamının gerekli olup olmadığının incelenmesi amacıyla soruşturma açılmasına karar vermiştir.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Soruşturmanın yürütülmesi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 xml:space="preserve">MADDE 4 – </w:t>
                  </w:r>
                  <w:r w:rsidRPr="004D2766">
                    <w:rPr>
                      <w:rFonts w:ascii="Times New Roman" w:eastAsia="ヒラギノ明朝 Pro W3" w:hAnsi="Times New Roman" w:cs="Times New Roman"/>
                      <w:sz w:val="18"/>
                      <w:szCs w:val="18"/>
                    </w:rPr>
                    <w:t>(1) Soruşturma, Yönetmeliğin ilgili hükümleri kapsamında Genel Müdürlük tarafından yürütülür. Soruşturma ile ilgili tüm yazışmalar aşağıda belirtilen yetkili merci ile yapılır.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T.C. Ekonomi Bakanlığı</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İthalat Genel Müdürlüğü</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Korunma Önlemleri Dairesi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İnönü Bulvarı No: 36, 06510 Emek/ANKARA</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Tel: (+90 312) 204 77 17 Faks: (+90 312) 212 87 65</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İnternet sitesi: http://www.tpsa.gov.tr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E-posta: korunma@ekonomi.gov.tr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İlgili taraflar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 xml:space="preserve">MADDE 5 – </w:t>
                  </w:r>
                  <w:r w:rsidRPr="004D2766">
                    <w:rPr>
                      <w:rFonts w:ascii="Times New Roman" w:eastAsia="ヒラギノ明朝 Pro W3" w:hAnsi="Times New Roman" w:cs="Times New Roman"/>
                      <w:sz w:val="18"/>
                      <w:szCs w:val="18"/>
                    </w:rPr>
                    <w:t>(1) Ekte yer alan “İlgili Taraf Başvuru Formu”nu bu Tebliğin yayımı tarihinden itibaren on beş gün içinde doldurarak Genel Müdürlüğe gönderenler soruşturma kapsamında ilgili taraf olarak kabul edilirler.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Görüşlerin sunulması ve bilgi verilmesi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6 –</w:t>
                  </w:r>
                  <w:r w:rsidRPr="004D2766">
                    <w:rPr>
                      <w:rFonts w:ascii="Times New Roman" w:eastAsia="ヒラギノ明朝 Pro W3" w:hAnsi="Times New Roman" w:cs="Times New Roman"/>
                      <w:sz w:val="18"/>
                      <w:szCs w:val="18"/>
                    </w:rPr>
                    <w:t xml:space="preserve"> (1) “İlgili Taraf Başvuru Formu”nu doldurarak 5 inci maddede belirtilen süre içerisinde gönderenlere, 1 inci maddede belirtilen bağlantıdan ve http://www.ekonomi.gov.tr/ </w:t>
                  </w:r>
                  <w:proofErr w:type="spellStart"/>
                  <w:r w:rsidRPr="004D2766">
                    <w:rPr>
                      <w:rFonts w:ascii="Times New Roman" w:eastAsia="ヒラギノ明朝 Pro W3" w:hAnsi="Times New Roman" w:cs="Times New Roman"/>
                      <w:sz w:val="18"/>
                      <w:szCs w:val="18"/>
                    </w:rPr>
                    <w:t>ithgozetim</w:t>
                  </w:r>
                  <w:proofErr w:type="spellEnd"/>
                  <w:r w:rsidRPr="004D2766">
                    <w:rPr>
                      <w:rFonts w:ascii="Times New Roman" w:eastAsia="ヒラギノ明朝 Pro W3" w:hAnsi="Times New Roman" w:cs="Times New Roman"/>
                      <w:sz w:val="18"/>
                      <w:szCs w:val="18"/>
                    </w:rPr>
                    <w:t>/</w:t>
                  </w:r>
                  <w:proofErr w:type="spellStart"/>
                  <w:r w:rsidRPr="004D2766">
                    <w:rPr>
                      <w:rFonts w:ascii="Times New Roman" w:eastAsia="ヒラギノ明朝 Pro W3" w:hAnsi="Times New Roman" w:cs="Times New Roman"/>
                      <w:sz w:val="18"/>
                      <w:szCs w:val="18"/>
                    </w:rPr>
                    <w:t>index</w:t>
                  </w:r>
                  <w:proofErr w:type="spellEnd"/>
                  <w:r w:rsidRPr="004D2766">
                    <w:rPr>
                      <w:rFonts w:ascii="Times New Roman" w:eastAsia="ヒラギノ明朝 Pro W3" w:hAnsi="Times New Roman" w:cs="Times New Roman"/>
                      <w:sz w:val="18"/>
                      <w:szCs w:val="18"/>
                    </w:rPr>
                    <w:t>.</w:t>
                  </w:r>
                  <w:proofErr w:type="spellStart"/>
                  <w:r w:rsidRPr="004D2766">
                    <w:rPr>
                      <w:rFonts w:ascii="Times New Roman" w:eastAsia="ヒラギノ明朝 Pro W3" w:hAnsi="Times New Roman" w:cs="Times New Roman"/>
                      <w:sz w:val="18"/>
                      <w:szCs w:val="18"/>
                    </w:rPr>
                    <w:t>cfm</w:t>
                  </w:r>
                  <w:proofErr w:type="spellEnd"/>
                  <w:r w:rsidRPr="004D2766">
                    <w:rPr>
                      <w:rFonts w:ascii="Times New Roman" w:eastAsia="ヒラギノ明朝 Pro W3" w:hAnsi="Times New Roman" w:cs="Times New Roman"/>
                      <w:sz w:val="18"/>
                      <w:szCs w:val="18"/>
                    </w:rPr>
                    <w:t xml:space="preserve"> adresinden ulaşılabilen “İlgili Taraf Soru Formu”na giriş yapabilecekleri kullanıcı adı ve şifre Genel Müdürlükçe bildirilir. Kullanıcı adı, “İlgili Taraf Başvuru Formu”nda beyan edilen e-posta adresi olarak belirlenir. İlgili tarafların, bildirilen kullanıcı adı ve şifreyi kullanarak “İlgili Taraf Soru Formu”nu elektronik ortamda bu Tebliğin yayımı tarihinden itibaren yirmi gün içinde doldurmaları gerekmektedir. “İlgili Taraf Soru Formu”nun doldurulmasıyla ilgili olarak Genel Müdürlük ile temas kurulması mümkün bulunmaktadır.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sz w:val="18"/>
                      <w:szCs w:val="18"/>
                    </w:rPr>
                    <w:t>(2) Bakanlık gerekli görmesi halinde ilgililerden ek bilgi ve belge isteyebilir.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İlgili tarafların dinlenmesi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7 –</w:t>
                  </w:r>
                  <w:r w:rsidRPr="004D2766">
                    <w:rPr>
                      <w:rFonts w:ascii="Times New Roman" w:eastAsia="ヒラギノ明朝 Pro W3" w:hAnsi="Times New Roman" w:cs="Times New Roman"/>
                      <w:sz w:val="18"/>
                      <w:szCs w:val="18"/>
                    </w:rPr>
                    <w:t xml:space="preserve"> (1) İlgili taraflar, varsa sözlü olarak dinlenme taleplerini de “İlgili Taraf Başvuru Formu”nda belirtmek suretiyle yetkili </w:t>
                  </w:r>
                  <w:proofErr w:type="spellStart"/>
                  <w:r w:rsidRPr="004D2766">
                    <w:rPr>
                      <w:rFonts w:ascii="Times New Roman" w:eastAsia="ヒラギノ明朝 Pro W3" w:hAnsi="Times New Roman" w:cs="Times New Roman"/>
                      <w:sz w:val="18"/>
                      <w:szCs w:val="18"/>
                    </w:rPr>
                    <w:t>merciye</w:t>
                  </w:r>
                  <w:proofErr w:type="spellEnd"/>
                  <w:r w:rsidRPr="004D2766">
                    <w:rPr>
                      <w:rFonts w:ascii="Times New Roman" w:eastAsia="ヒラギノ明朝 Pro W3" w:hAnsi="Times New Roman" w:cs="Times New Roman"/>
                      <w:sz w:val="18"/>
                      <w:szCs w:val="18"/>
                    </w:rPr>
                    <w:t xml:space="preserve"> iletir. Talep edilmesi halinde düzenlenecek olan dinleme toplantısının yapılacağı yer ve tarih ile soruşturmaya ilişkin diğer duyurular Bakanlığın internet sitesinde (1 inci maddede belirtilen bağlantıda) ilan edilecektir. Ayrıca talep edilmesi halinde Genel Müdürlükçe ilgili taraflar tek </w:t>
                  </w:r>
                  <w:proofErr w:type="spellStart"/>
                  <w:r w:rsidRPr="004D2766">
                    <w:rPr>
                      <w:rFonts w:ascii="Times New Roman" w:eastAsia="ヒラギノ明朝 Pro W3" w:hAnsi="Times New Roman" w:cs="Times New Roman"/>
                      <w:sz w:val="18"/>
                      <w:szCs w:val="18"/>
                    </w:rPr>
                    <w:t>tek</w:t>
                  </w:r>
                  <w:proofErr w:type="spellEnd"/>
                  <w:r w:rsidRPr="004D2766">
                    <w:rPr>
                      <w:rFonts w:ascii="Times New Roman" w:eastAsia="ヒラギノ明朝 Pro W3" w:hAnsi="Times New Roman" w:cs="Times New Roman"/>
                      <w:sz w:val="18"/>
                      <w:szCs w:val="18"/>
                    </w:rPr>
                    <w:t xml:space="preserve"> de dinlenebilecektir.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Gizlilik</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8 –</w:t>
                  </w:r>
                  <w:r w:rsidRPr="004D2766">
                    <w:rPr>
                      <w:rFonts w:ascii="Times New Roman" w:eastAsia="ヒラギノ明朝 Pro W3" w:hAnsi="Times New Roman" w:cs="Times New Roman"/>
                      <w:sz w:val="18"/>
                      <w:szCs w:val="18"/>
                    </w:rPr>
                    <w:t xml:space="preserve"> (1) Soruşturma sırasında ilgili taraflarca verilen bilgiler Yönetmeliğin 6 </w:t>
                  </w:r>
                  <w:proofErr w:type="spellStart"/>
                  <w:r w:rsidRPr="004D2766">
                    <w:rPr>
                      <w:rFonts w:ascii="Times New Roman" w:eastAsia="ヒラギノ明朝 Pro W3" w:hAnsi="Times New Roman" w:cs="Times New Roman"/>
                      <w:sz w:val="18"/>
                      <w:szCs w:val="18"/>
                    </w:rPr>
                    <w:t>ncı</w:t>
                  </w:r>
                  <w:proofErr w:type="spellEnd"/>
                  <w:r w:rsidRPr="004D2766">
                    <w:rPr>
                      <w:rFonts w:ascii="Times New Roman" w:eastAsia="ヒラギノ明朝 Pro W3" w:hAnsi="Times New Roman" w:cs="Times New Roman"/>
                      <w:sz w:val="18"/>
                      <w:szCs w:val="18"/>
                    </w:rPr>
                    <w:t xml:space="preserve"> maddesinde belirtilen hükümler çerçevesinde gizli olarak değerlendirilir.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Bilgi verilmemesi veya hatalı bilgi verilmesi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 xml:space="preserve">MADDE 9 – </w:t>
                  </w:r>
                  <w:r w:rsidRPr="004D2766">
                    <w:rPr>
                      <w:rFonts w:ascii="Times New Roman" w:eastAsia="ヒラギノ明朝 Pro W3" w:hAnsi="Times New Roman" w:cs="Times New Roman"/>
                      <w:sz w:val="18"/>
                      <w:szCs w:val="18"/>
                    </w:rPr>
                    <w:t xml:space="preserve">(1) Yönetmeliğin 4 üncü maddesi uyarınca, soruşturmanın herhangi bir aşamasında Genel </w:t>
                  </w:r>
                  <w:r w:rsidRPr="004D2766">
                    <w:rPr>
                      <w:rFonts w:ascii="Times New Roman" w:eastAsia="ヒラギノ明朝 Pro W3" w:hAnsi="Times New Roman" w:cs="Times New Roman"/>
                      <w:sz w:val="18"/>
                      <w:szCs w:val="18"/>
                    </w:rPr>
                    <w:lastRenderedPageBreak/>
                    <w:t>Müdürlükçe istenen bilgilerin öngörülen süre içinde temin edilememesi ya da soruşturmanın engellendiğinin anlaşılması halinde soruşturma mevcut veriler üzerinden sonuçlandırılır. Genel Müdürlükçe ilgililer tarafından sağlanan bilgilerin yanlış olduğu tespit edildiği takdirde bu bilgiler dikkate alınmaz.</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Soruşturmanın süresi</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10 –</w:t>
                  </w:r>
                  <w:r w:rsidRPr="004D2766">
                    <w:rPr>
                      <w:rFonts w:ascii="Times New Roman" w:eastAsia="ヒラギノ明朝 Pro W3" w:hAnsi="Times New Roman" w:cs="Times New Roman"/>
                      <w:sz w:val="18"/>
                      <w:szCs w:val="18"/>
                    </w:rPr>
                    <w:t xml:space="preserve"> (1) Soruşturma Genel Müdürlükçe yürütülerek dokuz ay içinde tamamlanır. Gerekli hallerde bu süre altı ay uzatılabilir.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Yürürlük</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11 –</w:t>
                  </w:r>
                  <w:r w:rsidRPr="004D2766">
                    <w:rPr>
                      <w:rFonts w:ascii="Times New Roman" w:eastAsia="ヒラギノ明朝 Pro W3" w:hAnsi="Times New Roman" w:cs="Times New Roman"/>
                      <w:sz w:val="18"/>
                      <w:szCs w:val="18"/>
                    </w:rPr>
                    <w:t xml:space="preserve"> (1) Bu Tebliğ yayımı tarihinde yürürlüğe girer.</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b/>
                      <w:sz w:val="18"/>
                      <w:szCs w:val="18"/>
                    </w:rPr>
                  </w:pPr>
                  <w:r w:rsidRPr="004D2766">
                    <w:rPr>
                      <w:rFonts w:ascii="Times New Roman" w:eastAsia="ヒラギノ明朝 Pro W3" w:hAnsi="Times New Roman" w:cs="Times New Roman"/>
                      <w:b/>
                      <w:sz w:val="18"/>
                      <w:szCs w:val="18"/>
                    </w:rPr>
                    <w:t>Yürütme</w:t>
                  </w:r>
                </w:p>
                <w:p w:rsidR="004D2766" w:rsidRPr="004D2766" w:rsidRDefault="004D2766" w:rsidP="004D2766">
                  <w:pPr>
                    <w:tabs>
                      <w:tab w:val="left" w:pos="566"/>
                    </w:tabs>
                    <w:spacing w:after="0" w:line="240" w:lineRule="exact"/>
                    <w:ind w:firstLine="566"/>
                    <w:jc w:val="both"/>
                    <w:rPr>
                      <w:rFonts w:ascii="Times New Roman" w:eastAsia="ヒラギノ明朝 Pro W3" w:hAnsi="Times New Roman" w:cs="Times New Roman"/>
                      <w:sz w:val="18"/>
                      <w:szCs w:val="18"/>
                    </w:rPr>
                  </w:pPr>
                  <w:r w:rsidRPr="004D2766">
                    <w:rPr>
                      <w:rFonts w:ascii="Times New Roman" w:eastAsia="ヒラギノ明朝 Pro W3" w:hAnsi="Times New Roman" w:cs="Times New Roman"/>
                      <w:b/>
                      <w:sz w:val="18"/>
                      <w:szCs w:val="18"/>
                    </w:rPr>
                    <w:t>MADDE 12 –</w:t>
                  </w:r>
                  <w:r w:rsidRPr="004D2766">
                    <w:rPr>
                      <w:rFonts w:ascii="Times New Roman" w:eastAsia="ヒラギノ明朝 Pro W3" w:hAnsi="Times New Roman" w:cs="Times New Roman"/>
                      <w:sz w:val="18"/>
                      <w:szCs w:val="18"/>
                    </w:rPr>
                    <w:t xml:space="preserve"> (1) Bu Tebliğ hükümlerini Ekonomi Bakanı yürütür.</w:t>
                  </w:r>
                </w:p>
                <w:p w:rsidR="004D2766" w:rsidRPr="004D2766" w:rsidRDefault="004D2766" w:rsidP="004D2766">
                  <w:pPr>
                    <w:tabs>
                      <w:tab w:val="left" w:pos="566"/>
                    </w:tabs>
                    <w:spacing w:after="0" w:line="240" w:lineRule="exact"/>
                    <w:jc w:val="center"/>
                    <w:rPr>
                      <w:rFonts w:ascii="Times New Roman" w:eastAsia="ヒラギノ明朝Pro W3" w:hAnsi="Times New Roman" w:cs="Times New Roman"/>
                      <w:sz w:val="18"/>
                      <w:szCs w:val="20"/>
                    </w:rPr>
                  </w:pPr>
                </w:p>
                <w:p w:rsidR="004D2766" w:rsidRPr="004D2766" w:rsidRDefault="004D2766" w:rsidP="004D2766">
                  <w:pPr>
                    <w:tabs>
                      <w:tab w:val="left" w:pos="566"/>
                    </w:tabs>
                    <w:spacing w:after="0" w:line="240" w:lineRule="exact"/>
                    <w:jc w:val="center"/>
                    <w:rPr>
                      <w:rFonts w:ascii="Times New Roman" w:eastAsia="ヒラギノ明朝Pro W3" w:hAnsi="Times New Roman" w:cs="Times New Roman"/>
                      <w:sz w:val="18"/>
                      <w:lang w:val="en-GB"/>
                    </w:rPr>
                  </w:pPr>
                </w:p>
                <w:p w:rsidR="004D2766" w:rsidRPr="004D2766" w:rsidRDefault="004D2766" w:rsidP="004D2766">
                  <w:pPr>
                    <w:tabs>
                      <w:tab w:val="left" w:pos="566"/>
                    </w:tabs>
                    <w:spacing w:after="0" w:line="240" w:lineRule="exact"/>
                    <w:rPr>
                      <w:rFonts w:ascii="Times New Roman" w:eastAsia="ヒラギノ明朝Pro W3" w:hAnsi="Times New Roman" w:cs="Times New Roman"/>
                      <w:b/>
                      <w:bCs/>
                      <w:sz w:val="18"/>
                      <w:lang w:val="en-GB"/>
                    </w:rPr>
                  </w:pPr>
                  <w:hyperlink r:id="rId4" w:history="1">
                    <w:r w:rsidRPr="004D2766">
                      <w:rPr>
                        <w:rFonts w:ascii="Times New Roman" w:eastAsia="ヒラギノ明朝Pro W3" w:hAnsi="Times New Roman" w:cs="Times New Roman"/>
                        <w:b/>
                        <w:bCs/>
                        <w:color w:val="0000FF"/>
                        <w:sz w:val="18"/>
                      </w:rPr>
                      <w:t>Eki için tıklayınız.</w:t>
                    </w:r>
                  </w:hyperlink>
                </w:p>
                <w:p w:rsidR="004D2766" w:rsidRPr="004D2766" w:rsidRDefault="004D2766" w:rsidP="004D2766">
                  <w:pPr>
                    <w:spacing w:before="100" w:beforeAutospacing="1" w:after="100" w:afterAutospacing="1" w:line="240" w:lineRule="auto"/>
                    <w:jc w:val="center"/>
                    <w:rPr>
                      <w:rFonts w:ascii="Arial" w:eastAsia="Times New Roman" w:hAnsi="Arial" w:cs="Arial"/>
                      <w:color w:val="000080"/>
                      <w:sz w:val="24"/>
                      <w:szCs w:val="24"/>
                      <w:lang w:eastAsia="tr-TR"/>
                    </w:rPr>
                  </w:pPr>
                </w:p>
              </w:tc>
            </w:tr>
          </w:tbl>
          <w:p w:rsidR="004D2766" w:rsidRPr="004D2766" w:rsidRDefault="004D2766" w:rsidP="004D2766">
            <w:pPr>
              <w:spacing w:after="0" w:line="240" w:lineRule="auto"/>
              <w:jc w:val="center"/>
              <w:rPr>
                <w:rFonts w:ascii="Times New Roman" w:eastAsia="Times New Roman" w:hAnsi="Times New Roman" w:cs="Times New Roman"/>
                <w:sz w:val="20"/>
                <w:szCs w:val="20"/>
                <w:lang w:eastAsia="tr-TR"/>
              </w:rPr>
            </w:pPr>
          </w:p>
        </w:tc>
      </w:tr>
    </w:tbl>
    <w:p w:rsidR="004D2766" w:rsidRPr="004D2766" w:rsidRDefault="004D2766" w:rsidP="004D2766">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766"/>
    <w:rsid w:val="004D2766"/>
    <w:rsid w:val="0078081C"/>
    <w:rsid w:val="00861F2B"/>
    <w:rsid w:val="00872A27"/>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766"/>
    <w:rPr>
      <w:color w:val="0000FF"/>
      <w:u w:val="single"/>
    </w:rPr>
  </w:style>
  <w:style w:type="paragraph" w:styleId="NormalWeb">
    <w:name w:val="Normal (Web)"/>
    <w:basedOn w:val="Normal"/>
    <w:uiPriority w:val="99"/>
    <w:unhideWhenUsed/>
    <w:rsid w:val="004D2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4D2766"/>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4D2766"/>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4D2766"/>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4D2766"/>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147472628">
      <w:bodyDiv w:val="1"/>
      <w:marLeft w:val="0"/>
      <w:marRight w:val="0"/>
      <w:marTop w:val="0"/>
      <w:marBottom w:val="0"/>
      <w:divBdr>
        <w:top w:val="none" w:sz="0" w:space="0" w:color="auto"/>
        <w:left w:val="none" w:sz="0" w:space="0" w:color="auto"/>
        <w:bottom w:val="none" w:sz="0" w:space="0" w:color="auto"/>
        <w:right w:val="none" w:sz="0" w:space="0" w:color="auto"/>
      </w:divBdr>
      <w:divsChild>
        <w:div w:id="1922980075">
          <w:marLeft w:val="0"/>
          <w:marRight w:val="0"/>
          <w:marTop w:val="0"/>
          <w:marBottom w:val="0"/>
          <w:divBdr>
            <w:top w:val="none" w:sz="0" w:space="0" w:color="auto"/>
            <w:left w:val="none" w:sz="0" w:space="0" w:color="auto"/>
            <w:bottom w:val="none" w:sz="0" w:space="0" w:color="auto"/>
            <w:right w:val="none" w:sz="0" w:space="0" w:color="auto"/>
          </w:divBdr>
          <w:divsChild>
            <w:div w:id="16440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12/20131214-7-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Company>itkib</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2013-12-16T08:00:00Z</dcterms:created>
  <dcterms:modified xsi:type="dcterms:W3CDTF">2013-12-16T08:00:00Z</dcterms:modified>
</cp:coreProperties>
</file>