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1E0"/>
      </w:tblPr>
      <w:tblGrid>
        <w:gridCol w:w="9104"/>
      </w:tblGrid>
      <w:tr w:rsidR="001E010D" w:rsidRPr="001E010D" w:rsidTr="001E010D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/>
            </w:tblPr>
            <w:tblGrid>
              <w:gridCol w:w="2931"/>
              <w:gridCol w:w="2931"/>
              <w:gridCol w:w="2927"/>
            </w:tblGrid>
            <w:tr w:rsidR="001E010D" w:rsidRPr="001E010D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1E010D" w:rsidRPr="001E010D" w:rsidRDefault="001E010D" w:rsidP="001E010D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1E010D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 xml:space="preserve">18 Nisan </w:t>
                  </w:r>
                  <w:proofErr w:type="gramStart"/>
                  <w:r w:rsidRPr="001E010D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2014  CUMA</w:t>
                  </w:r>
                  <w:proofErr w:type="gramEnd"/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1E010D" w:rsidRPr="001E010D" w:rsidRDefault="001E010D" w:rsidP="001E010D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1E010D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1E010D" w:rsidRPr="001E010D" w:rsidRDefault="001E010D" w:rsidP="001E010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proofErr w:type="gramStart"/>
                  <w:r w:rsidRPr="001E010D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28976</w:t>
                  </w:r>
                  <w:proofErr w:type="gramEnd"/>
                </w:p>
              </w:tc>
            </w:tr>
            <w:tr w:rsidR="001E010D" w:rsidRPr="001E010D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1E010D" w:rsidRPr="001E010D" w:rsidRDefault="001E010D" w:rsidP="001E0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1E010D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1E010D" w:rsidRPr="001E010D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Ekonomi Bakanl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ığı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ndan:</w:t>
                  </w:r>
                </w:p>
                <w:p w:rsidR="001E010D" w:rsidRPr="001E010D" w:rsidRDefault="001E010D" w:rsidP="001E010D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THALATTA HAKSIZ REKABET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NLENMES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NE 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İŞ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TEBL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İĞ</w:t>
                  </w:r>
                </w:p>
                <w:p w:rsidR="001E010D" w:rsidRPr="001E010D" w:rsidRDefault="001E010D" w:rsidP="001E010D">
                  <w:pPr>
                    <w:spacing w:after="17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(TEBL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İĞ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NO: 2014/12)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Yasal dayanak ve ba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vuru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 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14/6/1989</w:t>
                  </w:r>
                  <w:proofErr w:type="gramEnd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3577 say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Kanun, 20/10/1999 tarihli ve 99/13482 say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Bakanlar Kurulu Karar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konulan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Karar (Karar) ve 30/10/1999 tarihli ve 23861 say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netmelikten (Y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netmelik) olu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an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Mevzuat h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yap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nihai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vurusu ile bu ba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vuruya ili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olarak 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mevzuat kapsam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de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erlendirmenin sonu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ermektedir.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Yerli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 Depar Deri-Plastik Sanayi ve Ticaret A.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 taraf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yap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ve </w:t>
                  </w:r>
                  <w:proofErr w:type="spellStart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Flokser</w:t>
                  </w:r>
                  <w:proofErr w:type="spellEnd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Tekstil Sanayi ve Ticaret A.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 ile Do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Suni Deri Plastik Sanayi ve Tic. A.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 taraf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da desteklenen ba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vuruda;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Halk Cumhuriyeti (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HC) men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5603.14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Tarife Pozisyonu (GTP) alt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fland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</w:t>
                  </w:r>
                  <w:proofErr w:type="spellStart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koag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</w:t>
                  </w:r>
                  <w:proofErr w:type="spellEnd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suni deriler ithalinde halen uygulanmakta olan dampinge kar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nlemin sona ermesinin </w:t>
                  </w:r>
                  <w:proofErr w:type="gramStart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</w:t>
                  </w:r>
                  <w:proofErr w:type="gramEnd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zarar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veya yeniden tekrar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yol 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aca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esiyle bir nihai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istemiyle ba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vuruda bulunulmu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nleme tabi 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 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nleme tabi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n, </w:t>
                  </w:r>
                  <w:proofErr w:type="gramStart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5603.14</w:t>
                  </w:r>
                  <w:proofErr w:type="gramEnd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tarife pozisyonlu (GTP)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Dokunmam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mensucat (emdirilmi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vanm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kaplanm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lamine edilmi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olsun olmas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n) 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  <w:vertAlign w:val="superscript"/>
                    </w:rPr>
                    <w:t xml:space="preserve">2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150 </w:t>
                  </w:r>
                  <w:proofErr w:type="spellStart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</w:t>
                  </w:r>
                  <w:proofErr w:type="spellEnd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fazla </w:t>
                  </w:r>
                  <w:proofErr w:type="spellStart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olanlar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proofErr w:type="spellEnd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Bahse konu GTP yaln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zca bilgi ama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verilmi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olup, ba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mahiyette de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ildir.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nleme tabi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Tarife Cetvelinde yer alan tarife pozisyonunda ve/veya 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tan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de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iklikler bu Tebli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mlerinin uygulanmas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halel getirmez.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Ba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vurunun temsil niteli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 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sunulan delillerden, ba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vurunun 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20 </w:t>
                  </w:r>
                  <w:proofErr w:type="spellStart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evesinde yerli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temsil niteli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haiz oldu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anla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Mevcut 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nlem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 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proofErr w:type="gramStart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18/4/2009</w:t>
                  </w:r>
                  <w:proofErr w:type="gramEnd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 ve 27804 say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nlemesine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2009/12 say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Tebli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</w:t>
                  </w:r>
                  <w:proofErr w:type="spellStart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</w:t>
                  </w:r>
                  <w:proofErr w:type="spellEnd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olarak 1,9 ABD Dolar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/ Kg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eklinde dampinge kar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konulmu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proofErr w:type="gramStart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29/6/2013</w:t>
                  </w:r>
                  <w:proofErr w:type="gramEnd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 ve 28692 say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nlenmesine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2013/11 say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Tebli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mevcut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nlemlerin 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 kalma 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relerinin sona erece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ve bahse konu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yerli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reticilerinin mevzuatta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relerde yeterli delillerle desteklenmi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ba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ile bir nihai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talebinde bulunabilecekleri ilan edilmi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Gerek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5 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Yap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ba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vurunun incelenmesi neticesinde,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eli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nleme konu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uygulanan </w:t>
                  </w:r>
                  <w:proofErr w:type="gramStart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dampinge</w:t>
                  </w:r>
                  <w:proofErr w:type="gramEnd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kalkmas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dampingin ve zarar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 etmesi veya yeniden meydana gelmesinin muhtemel oldu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una ili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olarak bir nihai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yeterli delillerin bulundu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anla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Karar ve i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lemler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6 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Bir nihai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labilmesi 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yeterli bilgi, belge ve delillerin bulundu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anla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ndan,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Rekabeti De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 Kurulu taraf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konusu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35 inci maddesi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bir nihai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karar verilmi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vuruya konu mevcut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nlem, 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35 inci maddesi gere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ince,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sonu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ncaya kadar 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 kalmaya devam edecektir.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turma, Ekonomi Bakanl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 Genel 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(Genel 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taraf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lecektir.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Piyasa ekonomisi de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erlendirmesi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7 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Genel 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taraf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40 </w:t>
                  </w:r>
                  <w:proofErr w:type="spellStart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proofErr w:type="spellEnd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41 inci maddelerinde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h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 sakl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kalmak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kapsam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normal de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tespitine karar verilmesi halinde; </w:t>
                  </w:r>
                  <w:proofErr w:type="spellStart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turmaya tabi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retici veya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reticilerin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retiminde ve sat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ek 1 inci maddesindeki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tler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piyasa ekonomisi ko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ullar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 oldu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unu 8 inci maddede belirtilen 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reler 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 yeterli deliller ile ispat etmesi durumunda bu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retici veya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reticiler 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normal de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erin tespitinde 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5 inci maddesi, aksi takdirde 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7 </w:t>
                  </w:r>
                  <w:proofErr w:type="spellStart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 h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uygulan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proofErr w:type="gramEnd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7 </w:t>
                  </w:r>
                  <w:proofErr w:type="spellStart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 h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mlerinin tatbiki halinde ad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en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 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piyasa ekonomisi uygulayan emsal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 olarak T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se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ilmesi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lmektedir. 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lastRenderedPageBreak/>
                    <w:t>Soru formlar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bilgilerin toplanmas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8 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teakip, ba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vuruda belirtilen ve Bakanl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tespit edilen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turmaya konu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bilinen ithalat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lkelerde yerle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ik bilinen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retici/ihracat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turmaya konu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 B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bildirimde bulunulacakt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Bildirimde,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Tebli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ine, ba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vurunun gizli olmayan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zetine ve soru formlar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nas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eri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ilece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hususunda bilgi verilecektir.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Bakanl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tespit edilememesi nedeniyle bildirim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nderilemeyen veya kendilerine bildirim ula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mayan di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ilgili taraflar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soru formuna Ekonomi Bakanl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ait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Ticaret Politikas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Savunma Ara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ı”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internet sayfas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(www.</w:t>
                  </w:r>
                  <w:proofErr w:type="spellStart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tpsa</w:t>
                  </w:r>
                  <w:proofErr w:type="spellEnd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.gov.tr) ilgili b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mden eri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meleri 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bulunmaktad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taraflar, soru formunda istenilen bilgiler haricinde,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turmayla ilgili oldu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d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di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bilgi, belge ve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lerini, destekleyici deliller ile birlikte Genel 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yaz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9 uncu maddenin ikinci f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sunabilirler.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sonucundan etkilenebileceklerini iddia eden; ancak bu maddenin birinci ve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kralar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girmeyen di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ilgili taraflar (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girdi olarak kullanan 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letmeler, meslek kurulu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ketici dernekleri,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veya 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veren sendikalar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gibi)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 Genel 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yaz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8 inci maddenin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sunabilirler.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(6)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taraflarca soru formuna verilen cevaplar,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turmayla ilgili sunulan di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bilgi, belge ve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 ile destekleyici deliller aksi belirtilmedik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yaz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sunulur. Yaz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sunumlarda ilgili taraflar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isim ve unvan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adres bilgileri, elektronik posta adresi, telefon ve faks numaralar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belirtilmelidir.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resince 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22 </w:t>
                  </w:r>
                  <w:proofErr w:type="spellStart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maddesinin ikinci f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gizlilik kayd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verilen her t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bilgi, belge ve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gizli olmayan bir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 sunulmal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Gizli olmayan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zet, esas bilginin makul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anla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olanak sa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layacak ayr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olmal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lgili taraflar, istisnai hallerde bu bilgilerin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zetlenemeyecek nitelikte olduklar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belirtebilirler. Bu gibi istisnai durumlarda, bilgilerin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zetlenemeyecek nitelikte olmas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nedenlerinin belirtilmesi gerekir.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reler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9 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8 inci maddenin birinci f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bildirimin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nderildi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ilgili taraflar 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soru formunu cevapland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resi,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bildirimin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nderildi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tarihten itibaren posta 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d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 37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8 inci maddenin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bildirimin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nderilmedi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ilgili taraflar,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ile ilgili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 ve soru formuna ili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cevaplar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Tebli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tarihinden itibaren ba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layacak 37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sunabilirler.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sonucundan etkilenebileceklerini iddia eden ancak 8 inci maddenin be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inci f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giren di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ilgili taraflar,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ile ilgili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 bu Tebli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tarihinden itibaren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ak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etkilemeyecek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reci 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sunabilirler.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İş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birli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ine gelinmemesi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10 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26 </w:t>
                  </w:r>
                  <w:proofErr w:type="spellStart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proofErr w:type="spellEnd"/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 h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evesinde, ilgili taraflardan birinin verilen 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reler d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 ve istenilen bi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imde gerekli bilgi ve belgeleri sa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lamamas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bu bilgi ve belgelere eri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imi reddetmesi veya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engelledi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anla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yanl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yan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lt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bilgi vermesi hallerinde 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taraf 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gelmemi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gibi hallerde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kapsam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veya nihai belirlemeler, olumlu ya da olumsuz, mevcut verilere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yap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taraflar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gelmemesi veya k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smen 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gelmesi halinde bahse konu taraf 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sonucu 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gelinmesine nazaran daha az avantajl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olabilir.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Yetkili merci ve adresi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11 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turmayla ilgili bilgi ve belgeler ile g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 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belirtilen yetkili mercie iletilmesi gerekmektedir.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T.C. Ekonomi Bakanl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 Genel 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 ve S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bvansiyon Ara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Dairesi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Bulvar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No: 36, Emek/ANKARA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Tel: +90-312-204 77 17/212 87 52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Faks: +90-312-212 87 65/212 87 11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E-posta: ngs196@ekonomi.gov.tr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turman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ba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lang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ıç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tarihi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12 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Soru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turma, bu Tebli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ba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kabul edilir.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13 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girer.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tme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szCs w:val="20"/>
                    </w:rPr>
                  </w:pP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14 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1E010D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Tebli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 Ekonomi Bakan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1E010D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1E010D" w:rsidRPr="001E010D" w:rsidRDefault="001E010D" w:rsidP="001E010D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</w:pPr>
                </w:p>
                <w:p w:rsidR="001E010D" w:rsidRPr="001E010D" w:rsidRDefault="001E010D" w:rsidP="001E0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1E010D" w:rsidRPr="001E010D" w:rsidRDefault="001E010D" w:rsidP="001E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1E010D" w:rsidRPr="001E010D" w:rsidRDefault="001E010D" w:rsidP="001E0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81C" w:rsidRDefault="0078081C"/>
    <w:sectPr w:rsidR="0078081C" w:rsidSect="0078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A2"/>
    <w:family w:val="roman"/>
    <w:pitch w:val="variable"/>
    <w:sig w:usb0="E0000387" w:usb1="40000013" w:usb2="00000000" w:usb3="00000000" w:csb0="0000019F" w:csb1="00000000"/>
  </w:font>
  <w:font w:name="ヒラギノ明朝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10D"/>
    <w:rsid w:val="001E010D"/>
    <w:rsid w:val="007330D5"/>
    <w:rsid w:val="0078081C"/>
    <w:rsid w:val="00861F2B"/>
    <w:rsid w:val="00A061C9"/>
    <w:rsid w:val="00EA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 Baslık"/>
    <w:rsid w:val="001E010D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1E010D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1E010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Normal1">
    <w:name w:val="Normal1"/>
    <w:rsid w:val="001E010D"/>
    <w:rPr>
      <w:rFonts w:ascii="Times New Roman" w:eastAsia="Times New Roman" w:hAnsi="Times New Roman" w:cs="Times New Roman" w:hint="default"/>
      <w:noProof w:val="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7605</Characters>
  <Application>Microsoft Office Word</Application>
  <DocSecurity>0</DocSecurity>
  <Lines>63</Lines>
  <Paragraphs>17</Paragraphs>
  <ScaleCrop>false</ScaleCrop>
  <Company>itkib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Şendil</dc:creator>
  <cp:keywords/>
  <dc:description/>
  <cp:lastModifiedBy>Gül Şendil</cp:lastModifiedBy>
  <cp:revision>1</cp:revision>
  <dcterms:created xsi:type="dcterms:W3CDTF">2014-04-18T08:46:00Z</dcterms:created>
  <dcterms:modified xsi:type="dcterms:W3CDTF">2014-04-18T08:47:00Z</dcterms:modified>
</cp:coreProperties>
</file>