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0D1FF8" w:rsidRPr="000D1FF8" w:rsidTr="000D1FF8">
        <w:trPr>
          <w:jc w:val="center"/>
        </w:trPr>
        <w:tc>
          <w:tcPr>
            <w:tcW w:w="9104" w:type="dxa"/>
            <w:hideMark/>
          </w:tcPr>
          <w:tbl>
            <w:tblPr>
              <w:tblW w:w="8789" w:type="dxa"/>
              <w:jc w:val="center"/>
              <w:tblLook w:val="01E0"/>
            </w:tblPr>
            <w:tblGrid>
              <w:gridCol w:w="2931"/>
              <w:gridCol w:w="2931"/>
              <w:gridCol w:w="2927"/>
            </w:tblGrid>
            <w:tr w:rsidR="000D1FF8" w:rsidRPr="000D1FF8">
              <w:trPr>
                <w:trHeight w:val="317"/>
                <w:jc w:val="center"/>
              </w:trPr>
              <w:tc>
                <w:tcPr>
                  <w:tcW w:w="2931" w:type="dxa"/>
                  <w:tcBorders>
                    <w:top w:val="nil"/>
                    <w:left w:val="nil"/>
                    <w:bottom w:val="single" w:sz="4" w:space="0" w:color="660066"/>
                    <w:right w:val="nil"/>
                  </w:tcBorders>
                  <w:vAlign w:val="center"/>
                  <w:hideMark/>
                </w:tcPr>
                <w:p w:rsidR="000D1FF8" w:rsidRPr="000D1FF8" w:rsidRDefault="000D1FF8" w:rsidP="000D1FF8">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0D1FF8">
                    <w:rPr>
                      <w:rFonts w:ascii="Arial" w:eastAsia="Times New Roman" w:hAnsi="Arial" w:cs="Arial"/>
                      <w:sz w:val="16"/>
                      <w:szCs w:val="16"/>
                      <w:lang w:eastAsia="tr-TR"/>
                    </w:rPr>
                    <w:t xml:space="preserve">18 Aralık </w:t>
                  </w:r>
                  <w:proofErr w:type="gramStart"/>
                  <w:r w:rsidRPr="000D1FF8">
                    <w:rPr>
                      <w:rFonts w:ascii="Arial" w:eastAsia="Times New Roman" w:hAnsi="Arial" w:cs="Arial"/>
                      <w:sz w:val="16"/>
                      <w:szCs w:val="16"/>
                      <w:lang w:eastAsia="tr-TR"/>
                    </w:rPr>
                    <w:t>2013  ÇARŞAMBA</w:t>
                  </w:r>
                  <w:proofErr w:type="gramEnd"/>
                </w:p>
              </w:tc>
              <w:tc>
                <w:tcPr>
                  <w:tcW w:w="2931" w:type="dxa"/>
                  <w:tcBorders>
                    <w:top w:val="nil"/>
                    <w:left w:val="nil"/>
                    <w:bottom w:val="single" w:sz="4" w:space="0" w:color="660066"/>
                    <w:right w:val="nil"/>
                  </w:tcBorders>
                  <w:vAlign w:val="center"/>
                  <w:hideMark/>
                </w:tcPr>
                <w:p w:rsidR="000D1FF8" w:rsidRPr="000D1FF8" w:rsidRDefault="000D1FF8" w:rsidP="000D1FF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0D1FF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0D1FF8" w:rsidRPr="000D1FF8" w:rsidRDefault="000D1FF8" w:rsidP="000D1FF8">
                  <w:pPr>
                    <w:spacing w:before="100" w:beforeAutospacing="1" w:after="100" w:afterAutospacing="1" w:line="240" w:lineRule="auto"/>
                    <w:jc w:val="right"/>
                    <w:rPr>
                      <w:rFonts w:ascii="Arial" w:eastAsia="Times New Roman" w:hAnsi="Arial" w:cs="Arial"/>
                      <w:b/>
                      <w:sz w:val="16"/>
                      <w:szCs w:val="16"/>
                      <w:lang w:eastAsia="tr-TR"/>
                    </w:rPr>
                  </w:pPr>
                  <w:proofErr w:type="gramStart"/>
                  <w:r w:rsidRPr="000D1FF8">
                    <w:rPr>
                      <w:rFonts w:ascii="Arial" w:eastAsia="Times New Roman" w:hAnsi="Arial" w:cs="Arial"/>
                      <w:sz w:val="16"/>
                      <w:szCs w:val="16"/>
                      <w:lang w:eastAsia="tr-TR"/>
                    </w:rPr>
                    <w:t>Sayı : 28855</w:t>
                  </w:r>
                  <w:proofErr w:type="gramEnd"/>
                </w:p>
              </w:tc>
            </w:tr>
            <w:tr w:rsidR="000D1FF8" w:rsidRPr="000D1FF8">
              <w:trPr>
                <w:trHeight w:val="480"/>
                <w:jc w:val="center"/>
              </w:trPr>
              <w:tc>
                <w:tcPr>
                  <w:tcW w:w="8789" w:type="dxa"/>
                  <w:gridSpan w:val="3"/>
                  <w:vAlign w:val="center"/>
                  <w:hideMark/>
                </w:tcPr>
                <w:p w:rsidR="000D1FF8" w:rsidRPr="000D1FF8" w:rsidRDefault="000D1FF8" w:rsidP="000D1FF8">
                  <w:pPr>
                    <w:spacing w:before="100" w:beforeAutospacing="1" w:after="100" w:afterAutospacing="1" w:line="240" w:lineRule="auto"/>
                    <w:jc w:val="center"/>
                    <w:rPr>
                      <w:rFonts w:ascii="Arial" w:eastAsia="Times New Roman" w:hAnsi="Arial" w:cs="Arial"/>
                      <w:b/>
                      <w:color w:val="000080"/>
                      <w:sz w:val="18"/>
                      <w:szCs w:val="18"/>
                      <w:lang w:eastAsia="tr-TR"/>
                    </w:rPr>
                  </w:pPr>
                  <w:r w:rsidRPr="000D1FF8">
                    <w:rPr>
                      <w:rFonts w:ascii="Arial" w:eastAsia="Times New Roman" w:hAnsi="Arial" w:cs="Arial"/>
                      <w:b/>
                      <w:color w:val="000080"/>
                      <w:sz w:val="18"/>
                      <w:szCs w:val="18"/>
                      <w:lang w:eastAsia="tr-TR"/>
                    </w:rPr>
                    <w:t>TEBLİĞ</w:t>
                  </w:r>
                </w:p>
              </w:tc>
            </w:tr>
            <w:tr w:rsidR="000D1FF8" w:rsidRPr="000D1FF8">
              <w:trPr>
                <w:trHeight w:val="480"/>
                <w:jc w:val="center"/>
              </w:trPr>
              <w:tc>
                <w:tcPr>
                  <w:tcW w:w="8789" w:type="dxa"/>
                  <w:gridSpan w:val="3"/>
                  <w:vAlign w:val="center"/>
                </w:tcPr>
                <w:p w:rsidR="000D1FF8" w:rsidRPr="000D1FF8" w:rsidRDefault="000D1FF8" w:rsidP="000D1FF8">
                  <w:pPr>
                    <w:tabs>
                      <w:tab w:val="left" w:pos="566"/>
                    </w:tabs>
                    <w:spacing w:after="0" w:line="240" w:lineRule="exact"/>
                    <w:ind w:firstLine="566"/>
                    <w:rPr>
                      <w:rFonts w:ascii="Times New Roman" w:eastAsia="ヒラギノ明朝 Pro W3" w:hAnsi="Times New Roman" w:cs="Times New Roman"/>
                      <w:sz w:val="18"/>
                      <w:szCs w:val="18"/>
                      <w:u w:val="single"/>
                    </w:rPr>
                  </w:pPr>
                  <w:r w:rsidRPr="000D1FF8">
                    <w:rPr>
                      <w:rFonts w:ascii="Times New Roman" w:eastAsia="ヒラギノ明朝 Pro W3" w:hAnsi="Times New Roman" w:cs="Times New Roman"/>
                      <w:sz w:val="18"/>
                      <w:szCs w:val="18"/>
                      <w:u w:val="single"/>
                    </w:rPr>
                    <w:t>Ekonomi Bakanlığından:</w:t>
                  </w:r>
                </w:p>
                <w:p w:rsidR="000D1FF8" w:rsidRPr="000D1FF8" w:rsidRDefault="000D1FF8" w:rsidP="000D1FF8">
                  <w:pPr>
                    <w:spacing w:after="0" w:line="240" w:lineRule="exact"/>
                    <w:jc w:val="center"/>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İTHALATTA HAKSIZ REKABETİN ÖNLENMESİNE İLİŞKİN TEBLİĞ</w:t>
                  </w:r>
                </w:p>
                <w:p w:rsidR="000D1FF8" w:rsidRPr="000D1FF8" w:rsidRDefault="000D1FF8" w:rsidP="000D1FF8">
                  <w:pPr>
                    <w:spacing w:after="0" w:line="240" w:lineRule="exact"/>
                    <w:jc w:val="center"/>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(TEBLİĞ NO: 2013/28)</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Yasal dayanak ve başvuru</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1 –</w:t>
                  </w:r>
                  <w:r w:rsidRPr="000D1FF8">
                    <w:rPr>
                      <w:rFonts w:ascii="Times New Roman" w:eastAsia="ヒラギノ明朝 Pro W3" w:hAnsi="Times New Roman" w:cs="Times New Roman"/>
                      <w:sz w:val="18"/>
                      <w:szCs w:val="18"/>
                    </w:rPr>
                    <w:t xml:space="preserve"> (1) Bu Tebliğ, </w:t>
                  </w:r>
                  <w:proofErr w:type="gramStart"/>
                  <w:r w:rsidRPr="000D1FF8">
                    <w:rPr>
                      <w:rFonts w:ascii="Times New Roman" w:eastAsia="ヒラギノ明朝 Pro W3" w:hAnsi="Times New Roman" w:cs="Times New Roman"/>
                      <w:sz w:val="18"/>
                      <w:szCs w:val="18"/>
                    </w:rPr>
                    <w:t>14/6/1989</w:t>
                  </w:r>
                  <w:proofErr w:type="gramEnd"/>
                  <w:r w:rsidRPr="000D1FF8">
                    <w:rPr>
                      <w:rFonts w:ascii="Times New Roman" w:eastAsia="ヒラギノ明朝 Pro W3" w:hAnsi="Times New Roman" w:cs="Times New Roman"/>
                      <w:sz w:val="18"/>
                      <w:szCs w:val="18"/>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Yönetmelikten (Yönetmelik)  oluşan ithalatta haksız rekabetin önlenmesi hakkında mevzuat hükümleri çerçevesinde yapılan nihai gözden geçirme soruşturması başvurusu ile bu başvuruya ilişkin olarak söz konusu mevzuat kapsamında yapılan değerlendirmenin sonuçlarını içermektedir.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 xml:space="preserve">(2) Yerli üreticiler Dost </w:t>
                  </w:r>
                  <w:proofErr w:type="spellStart"/>
                  <w:r w:rsidRPr="000D1FF8">
                    <w:rPr>
                      <w:rFonts w:ascii="Times New Roman" w:eastAsia="ヒラギノ明朝 Pro W3" w:hAnsi="Times New Roman" w:cs="Times New Roman"/>
                      <w:sz w:val="18"/>
                      <w:szCs w:val="18"/>
                    </w:rPr>
                    <w:t>Cırtbant</w:t>
                  </w:r>
                  <w:proofErr w:type="spellEnd"/>
                  <w:r w:rsidRPr="000D1FF8">
                    <w:rPr>
                      <w:rFonts w:ascii="Times New Roman" w:eastAsia="ヒラギノ明朝 Pro W3" w:hAnsi="Times New Roman" w:cs="Times New Roman"/>
                      <w:sz w:val="18"/>
                      <w:szCs w:val="18"/>
                    </w:rPr>
                    <w:t xml:space="preserve"> Dokuma San. A.Ş. ile </w:t>
                  </w:r>
                  <w:proofErr w:type="spellStart"/>
                  <w:r w:rsidRPr="000D1FF8">
                    <w:rPr>
                      <w:rFonts w:ascii="Times New Roman" w:eastAsia="ヒラギノ明朝 Pro W3" w:hAnsi="Times New Roman" w:cs="Times New Roman"/>
                      <w:sz w:val="18"/>
                      <w:szCs w:val="18"/>
                    </w:rPr>
                    <w:t>Anteks</w:t>
                  </w:r>
                  <w:proofErr w:type="spellEnd"/>
                  <w:r w:rsidRPr="000D1FF8">
                    <w:rPr>
                      <w:rFonts w:ascii="Times New Roman" w:eastAsia="ヒラギノ明朝 Pro W3" w:hAnsi="Times New Roman" w:cs="Times New Roman"/>
                      <w:sz w:val="18"/>
                      <w:szCs w:val="18"/>
                    </w:rPr>
                    <w:t xml:space="preserve"> Tekstil San. </w:t>
                  </w:r>
                  <w:proofErr w:type="gramStart"/>
                  <w:r w:rsidRPr="000D1FF8">
                    <w:rPr>
                      <w:rFonts w:ascii="Times New Roman" w:eastAsia="ヒラギノ明朝 Pro W3" w:hAnsi="Times New Roman" w:cs="Times New Roman"/>
                      <w:sz w:val="18"/>
                      <w:szCs w:val="18"/>
                    </w:rPr>
                    <w:t>ve</w:t>
                  </w:r>
                  <w:proofErr w:type="gramEnd"/>
                  <w:r w:rsidRPr="000D1FF8">
                    <w:rPr>
                      <w:rFonts w:ascii="Times New Roman" w:eastAsia="ヒラギノ明朝 Pro W3" w:hAnsi="Times New Roman" w:cs="Times New Roman"/>
                      <w:sz w:val="18"/>
                      <w:szCs w:val="18"/>
                    </w:rPr>
                    <w:t xml:space="preserve"> Tic. </w:t>
                  </w:r>
                  <w:proofErr w:type="spellStart"/>
                  <w:r w:rsidRPr="000D1FF8">
                    <w:rPr>
                      <w:rFonts w:ascii="Times New Roman" w:eastAsia="ヒラギノ明朝 Pro W3" w:hAnsi="Times New Roman" w:cs="Times New Roman"/>
                      <w:sz w:val="18"/>
                      <w:szCs w:val="18"/>
                    </w:rPr>
                    <w:t>Ltd.Şti</w:t>
                  </w:r>
                  <w:proofErr w:type="spellEnd"/>
                  <w:r w:rsidRPr="000D1FF8">
                    <w:rPr>
                      <w:rFonts w:ascii="Times New Roman" w:eastAsia="ヒラギノ明朝 Pro W3" w:hAnsi="Times New Roman" w:cs="Times New Roman"/>
                      <w:sz w:val="18"/>
                      <w:szCs w:val="18"/>
                    </w:rPr>
                    <w:t xml:space="preserve">. tarafından yapılan ve diğer yerli üretici Levent Tekstil Tic. ve San. Ltd. Şti. tarafından da desteklenen başvuruda; Çin Halk Cumhuriyeti (ÇHC) ve Çin </w:t>
                  </w:r>
                  <w:proofErr w:type="spellStart"/>
                  <w:r w:rsidRPr="000D1FF8">
                    <w:rPr>
                      <w:rFonts w:ascii="Times New Roman" w:eastAsia="ヒラギノ明朝 Pro W3" w:hAnsi="Times New Roman" w:cs="Times New Roman"/>
                      <w:sz w:val="18"/>
                      <w:szCs w:val="18"/>
                    </w:rPr>
                    <w:t>Tayvanı</w:t>
                  </w:r>
                  <w:proofErr w:type="spellEnd"/>
                  <w:r w:rsidRPr="000D1FF8">
                    <w:rPr>
                      <w:rFonts w:ascii="Times New Roman" w:eastAsia="ヒラギノ明朝 Pro W3" w:hAnsi="Times New Roman" w:cs="Times New Roman"/>
                      <w:sz w:val="18"/>
                      <w:szCs w:val="18"/>
                    </w:rPr>
                    <w:t xml:space="preserve"> menşeli “cırt bant”ın ithalinde halen uygulanmakta olan dampinge karşı önlemin sona ermesinin </w:t>
                  </w:r>
                  <w:proofErr w:type="gramStart"/>
                  <w:r w:rsidRPr="000D1FF8">
                    <w:rPr>
                      <w:rFonts w:ascii="Times New Roman" w:eastAsia="ヒラギノ明朝 Pro W3" w:hAnsi="Times New Roman" w:cs="Times New Roman"/>
                      <w:sz w:val="18"/>
                      <w:szCs w:val="18"/>
                    </w:rPr>
                    <w:t>damping</w:t>
                  </w:r>
                  <w:proofErr w:type="gramEnd"/>
                  <w:r w:rsidRPr="000D1FF8">
                    <w:rPr>
                      <w:rFonts w:ascii="Times New Roman" w:eastAsia="ヒラギノ明朝 Pro W3" w:hAnsi="Times New Roman" w:cs="Times New Roman"/>
                      <w:sz w:val="18"/>
                      <w:szCs w:val="18"/>
                    </w:rPr>
                    <w:t xml:space="preserve"> ve zararın devamına veya yeniden meydana gelmesine yol açacağı gerekçesiyle bir nihai gözden geçirme soruşturması açılması istemiyle başvuruda bulunulmuştur.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Önleme tabi ürün</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2 –</w:t>
                  </w:r>
                  <w:r w:rsidRPr="000D1FF8">
                    <w:rPr>
                      <w:rFonts w:ascii="Times New Roman" w:eastAsia="ヒラギノ明朝 Pro W3" w:hAnsi="Times New Roman" w:cs="Times New Roman"/>
                      <w:sz w:val="18"/>
                      <w:szCs w:val="18"/>
                    </w:rPr>
                    <w:t xml:space="preserve"> (1) Önleme tabi ürünler, 5806.32.90.00.11 gümrük tarife istatistik pozisyonu (GTİP) altında yer alan “cırt bant”  ve 5806.32.90.00.19 GTİP altında yer alan “Yalnız cırt </w:t>
                  </w:r>
                  <w:proofErr w:type="spellStart"/>
                  <w:r w:rsidRPr="000D1FF8">
                    <w:rPr>
                      <w:rFonts w:ascii="Times New Roman" w:eastAsia="ヒラギノ明朝 Pro W3" w:hAnsi="Times New Roman" w:cs="Times New Roman"/>
                      <w:sz w:val="18"/>
                      <w:szCs w:val="18"/>
                    </w:rPr>
                    <w:t>bantın</w:t>
                  </w:r>
                  <w:proofErr w:type="spellEnd"/>
                  <w:r w:rsidRPr="000D1FF8">
                    <w:rPr>
                      <w:rFonts w:ascii="Times New Roman" w:eastAsia="ヒラギノ明朝 Pro W3" w:hAnsi="Times New Roman" w:cs="Times New Roman"/>
                      <w:sz w:val="18"/>
                      <w:szCs w:val="18"/>
                    </w:rPr>
                    <w:t xml:space="preserve"> bileşenleri (</w:t>
                  </w:r>
                  <w:proofErr w:type="spellStart"/>
                  <w:r w:rsidRPr="000D1FF8">
                    <w:rPr>
                      <w:rFonts w:ascii="Times New Roman" w:eastAsia="ヒラギノ明朝 Pro W3" w:hAnsi="Times New Roman" w:cs="Times New Roman"/>
                      <w:sz w:val="18"/>
                      <w:szCs w:val="18"/>
                    </w:rPr>
                    <w:t>kroş</w:t>
                  </w:r>
                  <w:proofErr w:type="spellEnd"/>
                  <w:r w:rsidRPr="000D1FF8">
                    <w:rPr>
                      <w:rFonts w:ascii="Times New Roman" w:eastAsia="ヒラギノ明朝 Pro W3" w:hAnsi="Times New Roman" w:cs="Times New Roman"/>
                      <w:sz w:val="18"/>
                      <w:szCs w:val="18"/>
                    </w:rPr>
                    <w:t xml:space="preserve"> ve astragan)”</w:t>
                  </w:r>
                  <w:proofErr w:type="gramStart"/>
                  <w:r w:rsidRPr="000D1FF8">
                    <w:rPr>
                      <w:rFonts w:ascii="Times New Roman" w:eastAsia="ヒラギノ明朝 Pro W3" w:hAnsi="Times New Roman" w:cs="Times New Roman"/>
                      <w:sz w:val="18"/>
                      <w:szCs w:val="18"/>
                    </w:rPr>
                    <w:t>dır</w:t>
                  </w:r>
                  <w:proofErr w:type="gramEnd"/>
                  <w:r w:rsidRPr="000D1FF8">
                    <w:rPr>
                      <w:rFonts w:ascii="Times New Roman" w:eastAsia="ヒラギノ明朝 Pro W3" w:hAnsi="Times New Roman" w:cs="Times New Roman"/>
                      <w:sz w:val="18"/>
                      <w:szCs w:val="18"/>
                    </w:rPr>
                    <w:t>.</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 xml:space="preserve">(2) Bahse konu </w:t>
                  </w:r>
                  <w:proofErr w:type="spellStart"/>
                  <w:r w:rsidRPr="000D1FF8">
                    <w:rPr>
                      <w:rFonts w:ascii="Times New Roman" w:eastAsia="ヒラギノ明朝 Pro W3" w:hAnsi="Times New Roman" w:cs="Times New Roman"/>
                      <w:sz w:val="18"/>
                      <w:szCs w:val="18"/>
                    </w:rPr>
                    <w:t>GTİP’ler</w:t>
                  </w:r>
                  <w:proofErr w:type="spellEnd"/>
                  <w:r w:rsidRPr="000D1FF8">
                    <w:rPr>
                      <w:rFonts w:ascii="Times New Roman" w:eastAsia="ヒラギノ明朝 Pro W3" w:hAnsi="Times New Roman" w:cs="Times New Roman"/>
                      <w:sz w:val="18"/>
                      <w:szCs w:val="18"/>
                    </w:rPr>
                    <w:t>, bilgi amaçlı verilmiş olup, bağlayıcı mahiyette değildir.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(3) Önleme tabi ürünün Türk Gümrük Tarife Cetveli’nde yer alan tarife pozisyonunda ve/veya eşya tanımında yapılacak değişiklikler bu Tebliğ hükümlerinin uygulanmasına halel getirmez.</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Başvurunun temsil niteliği</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3 –</w:t>
                  </w:r>
                  <w:r w:rsidRPr="000D1FF8">
                    <w:rPr>
                      <w:rFonts w:ascii="Times New Roman" w:eastAsia="ヒラギノ明朝 Pro W3" w:hAnsi="Times New Roman" w:cs="Times New Roman"/>
                      <w:sz w:val="18"/>
                      <w:szCs w:val="18"/>
                    </w:rPr>
                    <w:t xml:space="preserve"> (1) Başvuru aşamasında sunulan delillerden, başvurunun Yönetmeliğin 20 </w:t>
                  </w:r>
                  <w:proofErr w:type="spellStart"/>
                  <w:r w:rsidRPr="000D1FF8">
                    <w:rPr>
                      <w:rFonts w:ascii="Times New Roman" w:eastAsia="ヒラギノ明朝 Pro W3" w:hAnsi="Times New Roman" w:cs="Times New Roman"/>
                      <w:sz w:val="18"/>
                      <w:szCs w:val="18"/>
                    </w:rPr>
                    <w:t>nci</w:t>
                  </w:r>
                  <w:proofErr w:type="spellEnd"/>
                  <w:r w:rsidRPr="000D1FF8">
                    <w:rPr>
                      <w:rFonts w:ascii="Times New Roman" w:eastAsia="ヒラギノ明朝 Pro W3" w:hAnsi="Times New Roman" w:cs="Times New Roman"/>
                      <w:sz w:val="18"/>
                      <w:szCs w:val="18"/>
                    </w:rPr>
                    <w:t xml:space="preserve"> maddesi çerçevesinde yerli üretim dalının temsil niteliğini haiz olduğu anlaşılmıştır.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Mevcut önlem</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4 –</w:t>
                  </w:r>
                  <w:r w:rsidRPr="000D1FF8">
                    <w:rPr>
                      <w:rFonts w:ascii="Times New Roman" w:eastAsia="ヒラギノ明朝 Pro W3" w:hAnsi="Times New Roman" w:cs="Times New Roman"/>
                      <w:sz w:val="18"/>
                      <w:szCs w:val="18"/>
                    </w:rPr>
                    <w:t xml:space="preserve"> (1) ÇHC ve Çin </w:t>
                  </w:r>
                  <w:proofErr w:type="spellStart"/>
                  <w:proofErr w:type="gramStart"/>
                  <w:r w:rsidRPr="000D1FF8">
                    <w:rPr>
                      <w:rFonts w:ascii="Times New Roman" w:eastAsia="ヒラギノ明朝 Pro W3" w:hAnsi="Times New Roman" w:cs="Times New Roman"/>
                      <w:sz w:val="18"/>
                      <w:szCs w:val="18"/>
                    </w:rPr>
                    <w:t>Tayvanı</w:t>
                  </w:r>
                  <w:proofErr w:type="spellEnd"/>
                  <w:r w:rsidRPr="000D1FF8">
                    <w:rPr>
                      <w:rFonts w:ascii="Times New Roman" w:eastAsia="ヒラギノ明朝 Pro W3" w:hAnsi="Times New Roman" w:cs="Times New Roman"/>
                      <w:sz w:val="18"/>
                      <w:szCs w:val="18"/>
                    </w:rPr>
                    <w:t xml:space="preserve">  menşeli</w:t>
                  </w:r>
                  <w:proofErr w:type="gramEnd"/>
                  <w:r w:rsidRPr="000D1FF8">
                    <w:rPr>
                      <w:rFonts w:ascii="Times New Roman" w:eastAsia="ヒラギノ明朝 Pro W3" w:hAnsi="Times New Roman" w:cs="Times New Roman"/>
                      <w:sz w:val="18"/>
                      <w:szCs w:val="18"/>
                    </w:rPr>
                    <w:t xml:space="preserve"> 5806.32.90.00.00  GTİP altında yer alan “yalnız cırt bant” için 13/12/2002 tarihli ve 24962 sayılı Resmî Gazete’de yayımlanan İthalatta Haksız Rekabetin Önlenmesine İlişkin  Tebliğ (Tebliğ No: 2002/15) ile ÇHC menşeli olanlar için 3,86 ABD Doları/Kg, Çin </w:t>
                  </w:r>
                  <w:proofErr w:type="spellStart"/>
                  <w:r w:rsidRPr="000D1FF8">
                    <w:rPr>
                      <w:rFonts w:ascii="Times New Roman" w:eastAsia="ヒラギノ明朝 Pro W3" w:hAnsi="Times New Roman" w:cs="Times New Roman"/>
                      <w:sz w:val="18"/>
                      <w:szCs w:val="18"/>
                    </w:rPr>
                    <w:t>Tayvanı</w:t>
                  </w:r>
                  <w:proofErr w:type="spellEnd"/>
                  <w:r w:rsidRPr="000D1FF8">
                    <w:rPr>
                      <w:rFonts w:ascii="Times New Roman" w:eastAsia="ヒラギノ明朝 Pro W3" w:hAnsi="Times New Roman" w:cs="Times New Roman"/>
                      <w:sz w:val="18"/>
                      <w:szCs w:val="18"/>
                    </w:rPr>
                    <w:t xml:space="preserve"> menşeli olanlar için de 1,83 ABD Doları/Kg tutarlarında dampinge karşı kesin önlem yürürlüğe konulmuştur.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 xml:space="preserve">(2) </w:t>
                  </w:r>
                  <w:proofErr w:type="gramStart"/>
                  <w:r w:rsidRPr="000D1FF8">
                    <w:rPr>
                      <w:rFonts w:ascii="Times New Roman" w:eastAsia="ヒラギノ明朝 Pro W3" w:hAnsi="Times New Roman" w:cs="Times New Roman"/>
                      <w:sz w:val="18"/>
                      <w:szCs w:val="18"/>
                    </w:rPr>
                    <w:t>18/12/2008</w:t>
                  </w:r>
                  <w:proofErr w:type="gramEnd"/>
                  <w:r w:rsidRPr="000D1FF8">
                    <w:rPr>
                      <w:rFonts w:ascii="Times New Roman" w:eastAsia="ヒラギノ明朝 Pro W3" w:hAnsi="Times New Roman" w:cs="Times New Roman"/>
                      <w:sz w:val="18"/>
                      <w:szCs w:val="18"/>
                    </w:rPr>
                    <w:t xml:space="preserve"> tarihli ve 27084 sayılı Resmî Gazete’de yayımlanan İthalatta Haksız Rekabetin Önlenmesine İlişkin Tebliğ (2008/36) ile tamamlanan nihai gözden geçirme soruşturması sonucunda önlemlerin, 5806.32.90.00.11 GTİP altında yer alan “cırt bant” ve 5806.32.90.00.19 GTİP altında yer alan “diğerleri” ürünlerinin, ÇHC menşeli olanları için 3,86 ABD Doları/Kg, Çin </w:t>
                  </w:r>
                  <w:proofErr w:type="spellStart"/>
                  <w:r w:rsidRPr="000D1FF8">
                    <w:rPr>
                      <w:rFonts w:ascii="Times New Roman" w:eastAsia="ヒラギノ明朝 Pro W3" w:hAnsi="Times New Roman" w:cs="Times New Roman"/>
                      <w:sz w:val="18"/>
                      <w:szCs w:val="18"/>
                    </w:rPr>
                    <w:t>Tayvanı</w:t>
                  </w:r>
                  <w:proofErr w:type="spellEnd"/>
                  <w:r w:rsidRPr="000D1FF8">
                    <w:rPr>
                      <w:rFonts w:ascii="Times New Roman" w:eastAsia="ヒラギノ明朝 Pro W3" w:hAnsi="Times New Roman" w:cs="Times New Roman"/>
                      <w:sz w:val="18"/>
                      <w:szCs w:val="18"/>
                    </w:rPr>
                    <w:t xml:space="preserve"> menşeli olanlar için ise 1,83 ABD Doları/Kg olarak devam ettirilmesine karar verilmiştir.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 xml:space="preserve">(3) 17/9/2009 tarihli ve 27352 sayılı Resmî Gazete’de yayımlanan İthalatta Haksız Rekabetin Önlenmesine İlişkin Tebliğ (2009/34) </w:t>
                  </w:r>
                  <w:proofErr w:type="gramStart"/>
                  <w:r w:rsidRPr="000D1FF8">
                    <w:rPr>
                      <w:rFonts w:ascii="Times New Roman" w:eastAsia="ヒラギノ明朝 Pro W3" w:hAnsi="Times New Roman" w:cs="Times New Roman"/>
                      <w:sz w:val="18"/>
                      <w:szCs w:val="18"/>
                    </w:rPr>
                    <w:t>ile  İthalatta</w:t>
                  </w:r>
                  <w:proofErr w:type="gramEnd"/>
                  <w:r w:rsidRPr="000D1FF8">
                    <w:rPr>
                      <w:rFonts w:ascii="Times New Roman" w:eastAsia="ヒラギノ明朝 Pro W3" w:hAnsi="Times New Roman" w:cs="Times New Roman"/>
                      <w:sz w:val="18"/>
                      <w:szCs w:val="18"/>
                    </w:rPr>
                    <w:t xml:space="preserve"> Haksız Rekabetin Önlenmesine İlişkin Tebliğ (2008/36)’in “Karar” başlıklı 19 uncu maddesinde yer alan tablo aşağıda belirtilen şekilde yeniden düzenlenmiştir.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p>
                <w:tbl>
                  <w:tblPr>
                    <w:tblW w:w="7481" w:type="dxa"/>
                    <w:jc w:val="center"/>
                    <w:tblInd w:w="588" w:type="dxa"/>
                    <w:tblCellMar>
                      <w:left w:w="70" w:type="dxa"/>
                      <w:right w:w="70" w:type="dxa"/>
                    </w:tblCellMar>
                    <w:tblLook w:val="04A0"/>
                  </w:tblPr>
                  <w:tblGrid>
                    <w:gridCol w:w="1820"/>
                    <w:gridCol w:w="1951"/>
                    <w:gridCol w:w="2009"/>
                    <w:gridCol w:w="1701"/>
                  </w:tblGrid>
                  <w:tr w:rsidR="000D1FF8" w:rsidRPr="000D1FF8">
                    <w:trPr>
                      <w:trHeight w:val="439"/>
                      <w:jc w:val="center"/>
                    </w:trPr>
                    <w:tc>
                      <w:tcPr>
                        <w:tcW w:w="1820" w:type="dxa"/>
                        <w:tcBorders>
                          <w:top w:val="single" w:sz="4" w:space="0" w:color="auto"/>
                          <w:left w:val="single" w:sz="4" w:space="0" w:color="auto"/>
                          <w:bottom w:val="single" w:sz="4" w:space="0" w:color="auto"/>
                          <w:right w:val="single" w:sz="4" w:space="0" w:color="auto"/>
                        </w:tcBorders>
                        <w:noWrap/>
                        <w:vAlign w:val="bottom"/>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GTİP</w:t>
                        </w:r>
                      </w:p>
                    </w:tc>
                    <w:tc>
                      <w:tcPr>
                        <w:tcW w:w="1951" w:type="dxa"/>
                        <w:tcBorders>
                          <w:top w:val="single" w:sz="4" w:space="0" w:color="auto"/>
                          <w:left w:val="single" w:sz="4" w:space="0" w:color="auto"/>
                          <w:bottom w:val="single" w:sz="4" w:space="0" w:color="auto"/>
                          <w:right w:val="single" w:sz="4" w:space="0" w:color="auto"/>
                        </w:tcBorders>
                        <w:noWrap/>
                        <w:vAlign w:val="bottom"/>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Madde</w:t>
                        </w:r>
                      </w:p>
                    </w:tc>
                    <w:tc>
                      <w:tcPr>
                        <w:tcW w:w="2009" w:type="dxa"/>
                        <w:tcBorders>
                          <w:top w:val="single" w:sz="4" w:space="0" w:color="auto"/>
                          <w:left w:val="single" w:sz="4" w:space="0" w:color="auto"/>
                          <w:bottom w:val="single" w:sz="4" w:space="0" w:color="auto"/>
                          <w:right w:val="single" w:sz="4" w:space="0" w:color="auto"/>
                        </w:tcBorders>
                        <w:noWrap/>
                        <w:vAlign w:val="bottom"/>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Menşe Ülke</w:t>
                        </w:r>
                      </w:p>
                    </w:tc>
                    <w:tc>
                      <w:tcPr>
                        <w:tcW w:w="1701" w:type="dxa"/>
                        <w:tcBorders>
                          <w:top w:val="single" w:sz="4" w:space="0" w:color="auto"/>
                          <w:left w:val="single" w:sz="4" w:space="0" w:color="auto"/>
                          <w:bottom w:val="single" w:sz="4" w:space="0" w:color="auto"/>
                          <w:right w:val="single" w:sz="4" w:space="0" w:color="auto"/>
                        </w:tcBorders>
                        <w:vAlign w:val="bottom"/>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Dampinge Karşı Önlem</w:t>
                        </w:r>
                      </w:p>
                    </w:tc>
                  </w:tr>
                  <w:tr w:rsidR="000D1FF8" w:rsidRPr="000D1FF8">
                    <w:trPr>
                      <w:trHeight w:val="216"/>
                      <w:jc w:val="center"/>
                    </w:trPr>
                    <w:tc>
                      <w:tcPr>
                        <w:tcW w:w="1820" w:type="dxa"/>
                        <w:vMerge w:val="restart"/>
                        <w:tcBorders>
                          <w:top w:val="single" w:sz="4" w:space="0" w:color="auto"/>
                          <w:left w:val="single" w:sz="4" w:space="0" w:color="auto"/>
                          <w:bottom w:val="single" w:sz="4" w:space="0" w:color="auto"/>
                          <w:right w:val="single" w:sz="4" w:space="0" w:color="auto"/>
                        </w:tcBorders>
                        <w:noWrap/>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5806.32.90.00.11</w:t>
                        </w:r>
                      </w:p>
                    </w:tc>
                    <w:tc>
                      <w:tcPr>
                        <w:tcW w:w="1951" w:type="dxa"/>
                        <w:vMerge w:val="restart"/>
                        <w:tcBorders>
                          <w:top w:val="single" w:sz="4" w:space="0" w:color="auto"/>
                          <w:left w:val="single" w:sz="4" w:space="0" w:color="auto"/>
                          <w:bottom w:val="single" w:sz="4" w:space="0" w:color="auto"/>
                          <w:right w:val="single" w:sz="4" w:space="0" w:color="auto"/>
                        </w:tcBorders>
                        <w:noWrap/>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Cırt Bant</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Çin Halk Cumhuriyeti</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3,86 ABD Doları/Kg</w:t>
                        </w:r>
                      </w:p>
                    </w:tc>
                  </w:tr>
                  <w:tr w:rsidR="000D1FF8" w:rsidRPr="000D1FF8">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1FF8" w:rsidRPr="000D1FF8" w:rsidRDefault="000D1FF8" w:rsidP="000D1FF8">
                        <w:pPr>
                          <w:spacing w:after="0" w:line="240" w:lineRule="auto"/>
                          <w:rPr>
                            <w:rFonts w:ascii="Times New Roman" w:eastAsia="ヒラギノ明朝Pro W3"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FF8" w:rsidRPr="000D1FF8" w:rsidRDefault="000D1FF8" w:rsidP="000D1FF8">
                        <w:pPr>
                          <w:spacing w:after="0" w:line="240" w:lineRule="auto"/>
                          <w:rPr>
                            <w:rFonts w:ascii="Times New Roman" w:eastAsia="ヒラギノ明朝Pro W3" w:hAnsi="Times New Roman" w:cs="Times New Roman"/>
                            <w:sz w:val="18"/>
                            <w:szCs w:val="18"/>
                          </w:rPr>
                        </w:pP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 xml:space="preserve">Çin </w:t>
                        </w:r>
                        <w:proofErr w:type="spellStart"/>
                        <w:r w:rsidRPr="000D1FF8">
                          <w:rPr>
                            <w:rFonts w:ascii="Times New Roman" w:eastAsia="ヒラギノ明朝Pro W3" w:hAnsi="Times New Roman" w:cs="Times New Roman"/>
                            <w:sz w:val="18"/>
                            <w:szCs w:val="18"/>
                          </w:rPr>
                          <w:t>Tayvanı</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1,83 ABD Doları/Kg</w:t>
                        </w:r>
                      </w:p>
                    </w:tc>
                  </w:tr>
                  <w:tr w:rsidR="000D1FF8" w:rsidRPr="000D1FF8">
                    <w:trPr>
                      <w:trHeight w:val="216"/>
                      <w:jc w:val="center"/>
                    </w:trPr>
                    <w:tc>
                      <w:tcPr>
                        <w:tcW w:w="1820" w:type="dxa"/>
                        <w:vMerge w:val="restart"/>
                        <w:tcBorders>
                          <w:top w:val="single" w:sz="4" w:space="0" w:color="auto"/>
                          <w:left w:val="single" w:sz="4" w:space="0" w:color="auto"/>
                          <w:bottom w:val="single" w:sz="4" w:space="0" w:color="auto"/>
                          <w:right w:val="single" w:sz="4" w:space="0" w:color="auto"/>
                        </w:tcBorders>
                        <w:noWrap/>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5806.32.90.00.19</w:t>
                        </w:r>
                      </w:p>
                    </w:tc>
                    <w:tc>
                      <w:tcPr>
                        <w:tcW w:w="1951" w:type="dxa"/>
                        <w:vMerge w:val="restart"/>
                        <w:tcBorders>
                          <w:top w:val="single" w:sz="4" w:space="0" w:color="auto"/>
                          <w:left w:val="single" w:sz="4" w:space="0" w:color="auto"/>
                          <w:bottom w:val="single" w:sz="4" w:space="0" w:color="auto"/>
                          <w:right w:val="single" w:sz="4" w:space="0" w:color="auto"/>
                        </w:tcBorders>
                        <w:noWrap/>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 xml:space="preserve">Yalnız cırt </w:t>
                        </w:r>
                        <w:proofErr w:type="spellStart"/>
                        <w:r w:rsidRPr="000D1FF8">
                          <w:rPr>
                            <w:rFonts w:ascii="Times New Roman" w:eastAsia="ヒラギノ明朝Pro W3" w:hAnsi="Times New Roman" w:cs="Times New Roman"/>
                            <w:sz w:val="18"/>
                            <w:szCs w:val="18"/>
                          </w:rPr>
                          <w:t>bantın</w:t>
                        </w:r>
                        <w:proofErr w:type="spellEnd"/>
                        <w:r w:rsidRPr="000D1FF8">
                          <w:rPr>
                            <w:rFonts w:ascii="Times New Roman" w:eastAsia="ヒラギノ明朝Pro W3" w:hAnsi="Times New Roman" w:cs="Times New Roman"/>
                            <w:sz w:val="18"/>
                            <w:szCs w:val="18"/>
                          </w:rPr>
                          <w:t xml:space="preserve"> bileşenleri (</w:t>
                        </w:r>
                        <w:proofErr w:type="spellStart"/>
                        <w:r w:rsidRPr="000D1FF8">
                          <w:rPr>
                            <w:rFonts w:ascii="Times New Roman" w:eastAsia="ヒラギノ明朝Pro W3" w:hAnsi="Times New Roman" w:cs="Times New Roman"/>
                            <w:sz w:val="18"/>
                            <w:szCs w:val="18"/>
                          </w:rPr>
                          <w:t>kroş</w:t>
                        </w:r>
                        <w:proofErr w:type="spellEnd"/>
                        <w:r w:rsidRPr="000D1FF8">
                          <w:rPr>
                            <w:rFonts w:ascii="Times New Roman" w:eastAsia="ヒラギノ明朝Pro W3" w:hAnsi="Times New Roman" w:cs="Times New Roman"/>
                            <w:sz w:val="18"/>
                            <w:szCs w:val="18"/>
                          </w:rPr>
                          <w:t xml:space="preserve"> ve astragan)</w:t>
                        </w: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Çin Halk Cumhuriyeti</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3,86 ABD Doları/Kg</w:t>
                        </w:r>
                      </w:p>
                    </w:tc>
                  </w:tr>
                  <w:tr w:rsidR="000D1FF8" w:rsidRPr="000D1FF8">
                    <w:trPr>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1FF8" w:rsidRPr="000D1FF8" w:rsidRDefault="000D1FF8" w:rsidP="000D1FF8">
                        <w:pPr>
                          <w:spacing w:after="0" w:line="240" w:lineRule="auto"/>
                          <w:rPr>
                            <w:rFonts w:ascii="Times New Roman" w:eastAsia="ヒラギノ明朝Pro W3"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FF8" w:rsidRPr="000D1FF8" w:rsidRDefault="000D1FF8" w:rsidP="000D1FF8">
                        <w:pPr>
                          <w:spacing w:after="0" w:line="240" w:lineRule="auto"/>
                          <w:rPr>
                            <w:rFonts w:ascii="Times New Roman" w:eastAsia="ヒラギノ明朝Pro W3" w:hAnsi="Times New Roman" w:cs="Times New Roman"/>
                            <w:sz w:val="18"/>
                            <w:szCs w:val="18"/>
                          </w:rPr>
                        </w:pPr>
                      </w:p>
                    </w:tc>
                    <w:tc>
                      <w:tcPr>
                        <w:tcW w:w="2009" w:type="dxa"/>
                        <w:tcBorders>
                          <w:top w:val="single" w:sz="4" w:space="0" w:color="auto"/>
                          <w:left w:val="single" w:sz="4" w:space="0" w:color="auto"/>
                          <w:bottom w:val="single" w:sz="4" w:space="0" w:color="auto"/>
                          <w:right w:val="single" w:sz="4" w:space="0" w:color="auto"/>
                        </w:tcBorders>
                        <w:noWrap/>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 xml:space="preserve">Çin </w:t>
                        </w:r>
                        <w:proofErr w:type="spellStart"/>
                        <w:r w:rsidRPr="000D1FF8">
                          <w:rPr>
                            <w:rFonts w:ascii="Times New Roman" w:eastAsia="ヒラギノ明朝Pro W3" w:hAnsi="Times New Roman" w:cs="Times New Roman"/>
                            <w:sz w:val="18"/>
                            <w:szCs w:val="18"/>
                          </w:rPr>
                          <w:t>Tayvanı</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0D1FF8" w:rsidRPr="000D1FF8" w:rsidRDefault="000D1FF8" w:rsidP="000D1FF8">
                        <w:pPr>
                          <w:spacing w:after="0" w:line="240" w:lineRule="exact"/>
                          <w:jc w:val="center"/>
                          <w:rPr>
                            <w:rFonts w:ascii="Times New Roman" w:eastAsia="ヒラギノ明朝Pro W3" w:hAnsi="Times New Roman" w:cs="Times New Roman"/>
                            <w:sz w:val="18"/>
                            <w:szCs w:val="18"/>
                          </w:rPr>
                        </w:pPr>
                        <w:r w:rsidRPr="000D1FF8">
                          <w:rPr>
                            <w:rFonts w:ascii="Times New Roman" w:eastAsia="ヒラギノ明朝Pro W3" w:hAnsi="Times New Roman" w:cs="Times New Roman"/>
                            <w:sz w:val="18"/>
                            <w:szCs w:val="18"/>
                          </w:rPr>
                          <w:t>1,83 ABD Doları/Kg</w:t>
                        </w:r>
                      </w:p>
                    </w:tc>
                  </w:tr>
                </w:tbl>
                <w:p w:rsidR="000D1FF8" w:rsidRPr="000D1FF8" w:rsidRDefault="000D1FF8" w:rsidP="000D1FF8">
                  <w:pPr>
                    <w:tabs>
                      <w:tab w:val="left" w:pos="566"/>
                    </w:tabs>
                    <w:spacing w:after="0" w:line="240" w:lineRule="exact"/>
                    <w:jc w:val="center"/>
                    <w:rPr>
                      <w:rFonts w:ascii="Times New Roman" w:eastAsia="ヒラギノ明朝 Pro W3" w:hAnsi="Times New Roman" w:cs="Times New Roman"/>
                      <w:b/>
                      <w:sz w:val="18"/>
                      <w:szCs w:val="18"/>
                    </w:rPr>
                  </w:pP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Gerekçe</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5 –</w:t>
                  </w:r>
                  <w:r w:rsidRPr="000D1FF8">
                    <w:rPr>
                      <w:rFonts w:ascii="Times New Roman" w:eastAsia="ヒラギノ明朝 Pro W3" w:hAnsi="Times New Roman" w:cs="Times New Roman"/>
                      <w:sz w:val="18"/>
                      <w:szCs w:val="18"/>
                    </w:rPr>
                    <w:t xml:space="preserve"> (1) </w:t>
                  </w:r>
                  <w:proofErr w:type="gramStart"/>
                  <w:r w:rsidRPr="000D1FF8">
                    <w:rPr>
                      <w:rFonts w:ascii="Times New Roman" w:eastAsia="ヒラギノ明朝 Pro W3" w:hAnsi="Times New Roman" w:cs="Times New Roman"/>
                      <w:sz w:val="18"/>
                      <w:szCs w:val="18"/>
                    </w:rPr>
                    <w:t>31/1/2013</w:t>
                  </w:r>
                  <w:proofErr w:type="gramEnd"/>
                  <w:r w:rsidRPr="000D1FF8">
                    <w:rPr>
                      <w:rFonts w:ascii="Times New Roman" w:eastAsia="ヒラギノ明朝 Pro W3" w:hAnsi="Times New Roman" w:cs="Times New Roman"/>
                      <w:sz w:val="18"/>
                      <w:szCs w:val="18"/>
                    </w:rPr>
                    <w:t xml:space="preserve"> tarihli ve 28545 sayılı Resmî Gazete’de yayımlanan İthalatta Haksız Rekabetin Önlenmesine İlişkin Tebliğ (Tebliğ No: 2013/2) ile mevcut önlemlerin yürürlükte kalma sürelerinin sona ereceği ve bahse konu ürünün yerli üreticilerinin mevzuatta öngörülen sürelerde yeterli delillerle desteklenmiş bir başvuru ile bir nihai gözden geçirme soruşturması açılması talebinde bulunabilecekleri ilan edilmiştir.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 xml:space="preserve">(2) Bu çerçevede yapılan başvurunun incelenmesi neticesinde, ÇHC ve Çin </w:t>
                  </w:r>
                  <w:proofErr w:type="spellStart"/>
                  <w:r w:rsidRPr="000D1FF8">
                    <w:rPr>
                      <w:rFonts w:ascii="Times New Roman" w:eastAsia="ヒラギノ明朝 Pro W3" w:hAnsi="Times New Roman" w:cs="Times New Roman"/>
                      <w:sz w:val="18"/>
                      <w:szCs w:val="18"/>
                    </w:rPr>
                    <w:t>Tayvanı</w:t>
                  </w:r>
                  <w:proofErr w:type="spellEnd"/>
                  <w:r w:rsidRPr="000D1FF8">
                    <w:rPr>
                      <w:rFonts w:ascii="Times New Roman" w:eastAsia="ヒラギノ明朝 Pro W3" w:hAnsi="Times New Roman" w:cs="Times New Roman"/>
                      <w:sz w:val="18"/>
                      <w:szCs w:val="18"/>
                    </w:rPr>
                    <w:t xml:space="preserve"> menşeli önleme konu ürün için uygulanan </w:t>
                  </w:r>
                  <w:proofErr w:type="gramStart"/>
                  <w:r w:rsidRPr="000D1FF8">
                    <w:rPr>
                      <w:rFonts w:ascii="Times New Roman" w:eastAsia="ヒラギノ明朝 Pro W3" w:hAnsi="Times New Roman" w:cs="Times New Roman"/>
                      <w:sz w:val="18"/>
                      <w:szCs w:val="18"/>
                    </w:rPr>
                    <w:t>dampinge</w:t>
                  </w:r>
                  <w:proofErr w:type="gramEnd"/>
                  <w:r w:rsidRPr="000D1FF8">
                    <w:rPr>
                      <w:rFonts w:ascii="Times New Roman" w:eastAsia="ヒラギノ明朝 Pro W3" w:hAnsi="Times New Roman" w:cs="Times New Roman"/>
                      <w:sz w:val="18"/>
                      <w:szCs w:val="18"/>
                    </w:rPr>
                    <w:t xml:space="preserve"> karşı önlemlerin yürürlükten kalkması halinde dampingin ve zararın devam etmesi veya </w:t>
                  </w:r>
                  <w:r w:rsidRPr="000D1FF8">
                    <w:rPr>
                      <w:rFonts w:ascii="Times New Roman" w:eastAsia="ヒラギノ明朝 Pro W3" w:hAnsi="Times New Roman" w:cs="Times New Roman"/>
                      <w:sz w:val="18"/>
                      <w:szCs w:val="18"/>
                    </w:rPr>
                    <w:lastRenderedPageBreak/>
                    <w:t>yeniden meydana gelmesinin muhtemel olduğuna ilişkin olarak bir nihai gözden geçirme soruşturması açılması için yeterli delillerin bulunduğu anlaşılmıştır.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Karar ve işlemler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6 –</w:t>
                  </w:r>
                  <w:r w:rsidRPr="000D1FF8">
                    <w:rPr>
                      <w:rFonts w:ascii="Times New Roman" w:eastAsia="ヒラギノ明朝 Pro W3" w:hAnsi="Times New Roman" w:cs="Times New Roman"/>
                      <w:sz w:val="18"/>
                      <w:szCs w:val="18"/>
                    </w:rPr>
                    <w:t xml:space="preserve"> (1) Bir nihai gözden geçirme soruşturmasının açılabilmesi için yeterli bilgi, belge ve delillerin bulunduğu anlaşıldığından, İthalatta Haksız Rekabeti Değerlendirme Kurulu tarafından ÇHC ve Çin </w:t>
                  </w:r>
                  <w:proofErr w:type="spellStart"/>
                  <w:r w:rsidRPr="000D1FF8">
                    <w:rPr>
                      <w:rFonts w:ascii="Times New Roman" w:eastAsia="ヒラギノ明朝 Pro W3" w:hAnsi="Times New Roman" w:cs="Times New Roman"/>
                      <w:sz w:val="18"/>
                      <w:szCs w:val="18"/>
                    </w:rPr>
                    <w:t>Tayvanı</w:t>
                  </w:r>
                  <w:proofErr w:type="spellEnd"/>
                  <w:r w:rsidRPr="000D1FF8">
                    <w:rPr>
                      <w:rFonts w:ascii="Times New Roman" w:eastAsia="ヒラギノ明朝 Pro W3" w:hAnsi="Times New Roman" w:cs="Times New Roman"/>
                      <w:sz w:val="18"/>
                      <w:szCs w:val="18"/>
                    </w:rPr>
                    <w:t xml:space="preserve"> menşeli söz konusu ürün için Yönetmeliğin 35 inci maddesi çerçevesinde bir nihai gözden geçirme soruşturması açılmasına karar verilmiştir.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 xml:space="preserve">(2)  ÇHC ve Çin </w:t>
                  </w:r>
                  <w:proofErr w:type="spellStart"/>
                  <w:r w:rsidRPr="000D1FF8">
                    <w:rPr>
                      <w:rFonts w:ascii="Times New Roman" w:eastAsia="ヒラギノ明朝 Pro W3" w:hAnsi="Times New Roman" w:cs="Times New Roman"/>
                      <w:sz w:val="18"/>
                      <w:szCs w:val="18"/>
                    </w:rPr>
                    <w:t>Tayvanı</w:t>
                  </w:r>
                  <w:proofErr w:type="spellEnd"/>
                  <w:r w:rsidRPr="000D1FF8">
                    <w:rPr>
                      <w:rFonts w:ascii="Times New Roman" w:eastAsia="ヒラギノ明朝 Pro W3" w:hAnsi="Times New Roman" w:cs="Times New Roman"/>
                      <w:sz w:val="18"/>
                      <w:szCs w:val="18"/>
                    </w:rPr>
                    <w:t xml:space="preserve"> menşeli ithalatta uygulanan başvuruya konu ürünlere yönelik yürürlükte bulunan mevcut önlemler, Yönetmeliğin 35 inci maddesi gereğince, soruşturma sonuçlanıncaya kadar yürürlükte kalmaya devam edecektir.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(3) Soruşturma, Ekonomi Bakanlığı İthalat Genel Müdürlüğü (Genel Müdürlük) tarafından yürütülecektir.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Piyasa ekonomisi değerlendirmesi</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0D1FF8">
                    <w:rPr>
                      <w:rFonts w:ascii="Times New Roman" w:eastAsia="ヒラギノ明朝 Pro W3" w:hAnsi="Times New Roman" w:cs="Times New Roman"/>
                      <w:b/>
                      <w:sz w:val="18"/>
                      <w:szCs w:val="18"/>
                    </w:rPr>
                    <w:t>MADDE 7 –</w:t>
                  </w:r>
                  <w:r w:rsidRPr="000D1FF8">
                    <w:rPr>
                      <w:rFonts w:ascii="Times New Roman" w:eastAsia="ヒラギノ明朝 Pro W3" w:hAnsi="Times New Roman" w:cs="Times New Roman"/>
                      <w:sz w:val="18"/>
                      <w:szCs w:val="18"/>
                    </w:rPr>
                    <w:t xml:space="preserve"> (1) Yönetmeliğin 40 </w:t>
                  </w:r>
                  <w:proofErr w:type="spellStart"/>
                  <w:r w:rsidRPr="000D1FF8">
                    <w:rPr>
                      <w:rFonts w:ascii="Times New Roman" w:eastAsia="ヒラギノ明朝 Pro W3" w:hAnsi="Times New Roman" w:cs="Times New Roman"/>
                      <w:sz w:val="18"/>
                      <w:szCs w:val="18"/>
                    </w:rPr>
                    <w:t>ıncı</w:t>
                  </w:r>
                  <w:proofErr w:type="spellEnd"/>
                  <w:r w:rsidRPr="000D1FF8">
                    <w:rPr>
                      <w:rFonts w:ascii="Times New Roman" w:eastAsia="ヒラギノ明朝 Pro W3" w:hAnsi="Times New Roman" w:cs="Times New Roman"/>
                      <w:sz w:val="18"/>
                      <w:szCs w:val="18"/>
                    </w:rPr>
                    <w:t xml:space="preserve"> ve 41 inci maddelerinde öngörülen hükümler saklı kalmak üzere, Genel Müdürlük tarafından soruşturma kapsamında normal değer tespitine karar verilmesi halinde; </w:t>
                  </w:r>
                  <w:proofErr w:type="spellStart"/>
                  <w:r w:rsidRPr="000D1FF8">
                    <w:rPr>
                      <w:rFonts w:ascii="Times New Roman" w:eastAsia="ヒラギノ明朝 Pro W3" w:hAnsi="Times New Roman" w:cs="Times New Roman"/>
                      <w:sz w:val="18"/>
                      <w:szCs w:val="18"/>
                    </w:rPr>
                    <w:t>ÇHC’de</w:t>
                  </w:r>
                  <w:proofErr w:type="spellEnd"/>
                  <w:r w:rsidRPr="000D1FF8">
                    <w:rPr>
                      <w:rFonts w:ascii="Times New Roman" w:eastAsia="ヒラギノ明朝 Pro W3" w:hAnsi="Times New Roman" w:cs="Times New Roman"/>
                      <w:sz w:val="18"/>
                      <w:szCs w:val="18"/>
                    </w:rPr>
                    <w:t xml:space="preserve"> soruşturmaya tabi üretici veya üreticilerin soruşturma konusu ürünün üretiminde ve satışında Yönetmeliğin ek 1 inci maddesindeki ölçütler çerçevesinde piyasa ekonomisi koşullarının geçerli olduğunu bu Tebliğin 8 inci maddesinde belirtilen süreler içinde yeterli deliller ile ispat etmesi durumunda bu üretici veya üreticiler için normal değerin tespitinde Yönetmeliğin 5 inci maddesi, aksi takdirde Yönetmeliğin 7 </w:t>
                  </w:r>
                  <w:proofErr w:type="spellStart"/>
                  <w:r w:rsidRPr="000D1FF8">
                    <w:rPr>
                      <w:rFonts w:ascii="Times New Roman" w:eastAsia="ヒラギノ明朝 Pro W3" w:hAnsi="Times New Roman" w:cs="Times New Roman"/>
                      <w:sz w:val="18"/>
                      <w:szCs w:val="18"/>
                    </w:rPr>
                    <w:t>nci</w:t>
                  </w:r>
                  <w:proofErr w:type="spellEnd"/>
                  <w:r w:rsidRPr="000D1FF8">
                    <w:rPr>
                      <w:rFonts w:ascii="Times New Roman" w:eastAsia="ヒラギノ明朝 Pro W3" w:hAnsi="Times New Roman" w:cs="Times New Roman"/>
                      <w:sz w:val="18"/>
                      <w:szCs w:val="18"/>
                    </w:rPr>
                    <w:t xml:space="preserve"> maddesi hükümleri uygulanır. </w:t>
                  </w:r>
                  <w:proofErr w:type="gramEnd"/>
                  <w:r w:rsidRPr="000D1FF8">
                    <w:rPr>
                      <w:rFonts w:ascii="Times New Roman" w:eastAsia="ヒラギノ明朝 Pro W3" w:hAnsi="Times New Roman" w:cs="Times New Roman"/>
                      <w:sz w:val="18"/>
                      <w:szCs w:val="18"/>
                    </w:rPr>
                    <w:t xml:space="preserve">Yönetmeliğin 7 </w:t>
                  </w:r>
                  <w:proofErr w:type="spellStart"/>
                  <w:r w:rsidRPr="000D1FF8">
                    <w:rPr>
                      <w:rFonts w:ascii="Times New Roman" w:eastAsia="ヒラギノ明朝 Pro W3" w:hAnsi="Times New Roman" w:cs="Times New Roman"/>
                      <w:sz w:val="18"/>
                      <w:szCs w:val="18"/>
                    </w:rPr>
                    <w:t>nci</w:t>
                  </w:r>
                  <w:proofErr w:type="spellEnd"/>
                  <w:r w:rsidRPr="000D1FF8">
                    <w:rPr>
                      <w:rFonts w:ascii="Times New Roman" w:eastAsia="ヒラギノ明朝 Pro W3" w:hAnsi="Times New Roman" w:cs="Times New Roman"/>
                      <w:sz w:val="18"/>
                      <w:szCs w:val="18"/>
                    </w:rPr>
                    <w:t xml:space="preserve"> maddesi hükümlerinin tatbiki halinde adı geçen ülke için serbest piyasa ekonomisi uygulayan emsal ülke olarak Türkiye’nin seçilmesi öngörülmektedir.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Soru formları ve bilgilerin toplanması</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8 –</w:t>
                  </w:r>
                  <w:r w:rsidRPr="000D1FF8">
                    <w:rPr>
                      <w:rFonts w:ascii="Times New Roman" w:eastAsia="ヒラギノ明朝 Pro W3" w:hAnsi="Times New Roman" w:cs="Times New Roman"/>
                      <w:sz w:val="18"/>
                      <w:szCs w:val="18"/>
                    </w:rPr>
                    <w:t xml:space="preserve"> (1) Soruşturma açılmasını müteakip, başvuruda belirtilen ve Bakanlıkça tespit edilen soruşturmaya konu ürünün bilinen ithalatçılarına, soruşturma konusu ülkelerde yerleşik bilinen üretici/ihracatçılarına, ayrıca Ankara’da bulunan ÇHC ve Çin </w:t>
                  </w:r>
                  <w:proofErr w:type="spellStart"/>
                  <w:r w:rsidRPr="000D1FF8">
                    <w:rPr>
                      <w:rFonts w:ascii="Times New Roman" w:eastAsia="ヒラギノ明朝 Pro W3" w:hAnsi="Times New Roman" w:cs="Times New Roman"/>
                      <w:sz w:val="18"/>
                      <w:szCs w:val="18"/>
                    </w:rPr>
                    <w:t>Tayvanı’nın</w:t>
                  </w:r>
                  <w:proofErr w:type="spellEnd"/>
                  <w:r w:rsidRPr="000D1FF8">
                    <w:rPr>
                      <w:rFonts w:ascii="Times New Roman" w:eastAsia="ヒラギノ明朝 Pro W3" w:hAnsi="Times New Roman" w:cs="Times New Roman"/>
                      <w:sz w:val="18"/>
                      <w:szCs w:val="18"/>
                    </w:rPr>
                    <w:t xml:space="preserve"> Ankara’daki resmi temsilciliklerine soruşturmanın açılışına ilişkin bildirimde bulunulacaktır.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(2) Bildirimde, soruşturma açılış Tebliğine, başvurunun gizli olmayan özetine ve soru formlarına nasıl erişileceği hususunda bilgi verilecektir.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(3) Bakanlıkça tespit edilememesi nedeniyle bildirim gönderilemeyen veya kendilerine bildirim ulaşmayan diğer ilgili tarafların soru formuna Ekonomi Bakanlığına ait “Ticaret Politikası Savunma Araçları” internet sayfasındaki (www.</w:t>
                  </w:r>
                  <w:proofErr w:type="spellStart"/>
                  <w:r w:rsidRPr="000D1FF8">
                    <w:rPr>
                      <w:rFonts w:ascii="Times New Roman" w:eastAsia="ヒラギノ明朝 Pro W3" w:hAnsi="Times New Roman" w:cs="Times New Roman"/>
                      <w:sz w:val="18"/>
                      <w:szCs w:val="18"/>
                    </w:rPr>
                    <w:t>tpsa</w:t>
                  </w:r>
                  <w:proofErr w:type="spellEnd"/>
                  <w:r w:rsidRPr="000D1FF8">
                    <w:rPr>
                      <w:rFonts w:ascii="Times New Roman" w:eastAsia="ヒラギノ明朝 Pro W3" w:hAnsi="Times New Roman" w:cs="Times New Roman"/>
                      <w:sz w:val="18"/>
                      <w:szCs w:val="18"/>
                    </w:rPr>
                    <w:t>.gov.tr) ilgili bölümden erişmeleri mümkün bulunmaktadır.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(4) İlgili taraflar, soru formunda istenilen bilgiler haricinde, soruşturmayla ilgili olduğu düşünülen diğer bilgi, belge ve görüşlerini, destekleyici deliller ile birlikte Genel Müdürlüğe yazılı olarak 9 uncu maddenin ikinci fıkrasında belirtilen süre içerisinde sunabilirler.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0D1FF8">
                    <w:rPr>
                      <w:rFonts w:ascii="Times New Roman" w:eastAsia="ヒラギノ明朝 Pro W3" w:hAnsi="Times New Roman" w:cs="Times New Roman"/>
                      <w:sz w:val="18"/>
                      <w:szCs w:val="18"/>
                    </w:rPr>
                    <w:t>(5) Soruşturmanın sonucundan etkilenebileceklerini iddia eden, ancak bu maddenin birinci ve üçüncü fıkraları kapsamına girmeyen diğer ilgili taraflar (ürünü girdi olarak kullanan işletmeler, bunların meslek kuruluşları, tüketici dernekleri, üretim dalındaki işçi veya işveren sendikaları gibi) görüşlerini Genel Müdürlüğe yazılı olarak 9 uncu maddenin 3 üncü fıkrasında belirtilen süre içerisinde sunabilirler.</w:t>
                  </w:r>
                  <w:proofErr w:type="gramEnd"/>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(6)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ve faks numaraları belirtilmelidir.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 xml:space="preserve">(7) Soruşturma süresince Yönetmeliğin 22 </w:t>
                  </w:r>
                  <w:proofErr w:type="spellStart"/>
                  <w:r w:rsidRPr="000D1FF8">
                    <w:rPr>
                      <w:rFonts w:ascii="Times New Roman" w:eastAsia="ヒラギノ明朝 Pro W3" w:hAnsi="Times New Roman" w:cs="Times New Roman"/>
                      <w:sz w:val="18"/>
                      <w:szCs w:val="18"/>
                    </w:rPr>
                    <w:t>nci</w:t>
                  </w:r>
                  <w:proofErr w:type="spellEnd"/>
                  <w:r w:rsidRPr="000D1FF8">
                    <w:rPr>
                      <w:rFonts w:ascii="Times New Roman" w:eastAsia="ヒラギノ明朝 Pro W3" w:hAnsi="Times New Roman" w:cs="Times New Roman"/>
                      <w:sz w:val="18"/>
                      <w:szCs w:val="18"/>
                    </w:rPr>
                    <w:t xml:space="preserve"> maddesinin ikinci fıkrası çerçevesinde gizlilik kaydıyla verilen her tür bilgi, belge ve görüşün gizli olmayan bir özeti sunulmalıdır. Gizli olmayan özet, esas bilginin makul ölçüde anlaşılmasına olanak sağlayacak ayrıntıda olmalıdır. İlgili taraflar, istisnai hallerde bu bilgilerin özetlenemeyecek nitelikte olduklarını belirtebilirler. Bu gibi istisnai durumlarda, bilgilerin özetlenemeyecek nitelikte olmasının nedenlerinin belirtilmesi gerekir.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Süreler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9 –</w:t>
                  </w:r>
                  <w:r w:rsidRPr="000D1FF8">
                    <w:rPr>
                      <w:rFonts w:ascii="Times New Roman" w:eastAsia="ヒラギノ明朝 Pro W3" w:hAnsi="Times New Roman" w:cs="Times New Roman"/>
                      <w:sz w:val="18"/>
                      <w:szCs w:val="18"/>
                    </w:rPr>
                    <w:t xml:space="preserve"> (1) 8 inci maddenin birinci fıkrasında belirtilen bildirimin gönderildiği bütün ilgili taraflar için soru formunu cevaplandırma süresi, soruşturmanın açılışına ilişkin bildirimin gönderildiği tarihten itibaren posta süresi dâhil 37 gündür.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(2) 8 inci maddenin üçüncü fıkrasında belirtilen bildirimin gönderilmediği bütün ilgili taraflar, soruşturma ile ilgili görüşlerini ve soru formuna ilişkin cevaplarını bu Tebliğin yayımı tarihinden itibaren başlayacak 37 günlük süre içerisinde sunabilirler.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(3) Soruşturmanın sonucundan etkilenebileceklerini iddia eden 8 inci maddenin beşinci fıkrası kapsamına giren diğer ilgili taraflar, soruşturma ile ilgili görüşlerini bu Tebliğin yayımı tarihinden itibaren soruşturmanın akışını etkilemeyecek şekilde soruşturma süreci içerisinde sunabilirler.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İşbirliğine gelinmemesi</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10 –</w:t>
                  </w:r>
                  <w:r w:rsidRPr="000D1FF8">
                    <w:rPr>
                      <w:rFonts w:ascii="Times New Roman" w:eastAsia="ヒラギノ明朝 Pro W3" w:hAnsi="Times New Roman" w:cs="Times New Roman"/>
                      <w:sz w:val="18"/>
                      <w:szCs w:val="18"/>
                    </w:rPr>
                    <w:t xml:space="preserve"> (1) Yönetmeliğin 26 </w:t>
                  </w:r>
                  <w:proofErr w:type="spellStart"/>
                  <w:r w:rsidRPr="000D1FF8">
                    <w:rPr>
                      <w:rFonts w:ascii="Times New Roman" w:eastAsia="ヒラギノ明朝 Pro W3" w:hAnsi="Times New Roman" w:cs="Times New Roman"/>
                      <w:sz w:val="18"/>
                      <w:szCs w:val="18"/>
                    </w:rPr>
                    <w:t>ncı</w:t>
                  </w:r>
                  <w:proofErr w:type="spellEnd"/>
                  <w:r w:rsidRPr="000D1FF8">
                    <w:rPr>
                      <w:rFonts w:ascii="Times New Roman" w:eastAsia="ヒラギノ明朝 Pro W3" w:hAnsi="Times New Roman" w:cs="Times New Roman"/>
                      <w:sz w:val="18"/>
                      <w:szCs w:val="18"/>
                    </w:rPr>
                    <w:t xml:space="preserve"> maddesi hükmü çerçevesinde, ilgili taraflardan birinin verilen süreler </w:t>
                  </w:r>
                  <w:proofErr w:type="gramStart"/>
                  <w:r w:rsidRPr="000D1FF8">
                    <w:rPr>
                      <w:rFonts w:ascii="Times New Roman" w:eastAsia="ヒラギノ明朝 Pro W3" w:hAnsi="Times New Roman" w:cs="Times New Roman"/>
                      <w:sz w:val="18"/>
                      <w:szCs w:val="18"/>
                    </w:rPr>
                    <w:t>dahilinde</w:t>
                  </w:r>
                  <w:proofErr w:type="gramEnd"/>
                  <w:r w:rsidRPr="000D1FF8">
                    <w:rPr>
                      <w:rFonts w:ascii="Times New Roman" w:eastAsia="ヒラギノ明朝 Pro W3" w:hAnsi="Times New Roman" w:cs="Times New Roman"/>
                      <w:sz w:val="18"/>
                      <w:szCs w:val="18"/>
                    </w:rPr>
                    <w:t xml:space="preserve"> ve istenilen biçimde gerekli bilgi ve belgeleri sağlamaması ya da bu bilgi ve belgelere erişimi reddetmesi </w:t>
                  </w:r>
                  <w:r w:rsidRPr="000D1FF8">
                    <w:rPr>
                      <w:rFonts w:ascii="Times New Roman" w:eastAsia="ヒラギノ明朝 Pro W3" w:hAnsi="Times New Roman" w:cs="Times New Roman"/>
                      <w:sz w:val="18"/>
                      <w:szCs w:val="18"/>
                    </w:rPr>
                    <w:lastRenderedPageBreak/>
                    <w:t>veya soruşturmayı engellediğinin anlaşılması veya yanlış ya da yanıltıcı bilgi ve belge vermesi hallerinde söz konusu taraf işbirliğine gelmemiş sayılır. Bu gibi hallerde soruşturma kapsamındaki geçici veya nihai belirlemeler, olumlu ya da olumsuz, mevcut verilere göre yapılabilir.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(2) İlgili tarafların işbirliğine gelmemesi veya kısmen işbirliğine gelmesi halinde bahse konu taraf için soruşturmanın sonucu işbirliğine gelinmesine nazaran daha az avantajlı olabilir.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Yetkili merci ve adresi</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11 –</w:t>
                  </w:r>
                  <w:r w:rsidRPr="000D1FF8">
                    <w:rPr>
                      <w:rFonts w:ascii="Times New Roman" w:eastAsia="ヒラギノ明朝 Pro W3" w:hAnsi="Times New Roman" w:cs="Times New Roman"/>
                      <w:sz w:val="18"/>
                      <w:szCs w:val="18"/>
                    </w:rPr>
                    <w:t xml:space="preserve"> (1) Soruşturmayla ilgili bilgi ve belgeler ile görüşlerin aşağıda belirtilen yetkili mercie iletilmesi gerekmektedir: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T.C. Ekonomi Bakanlığı</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İthalat Genel Müdürlüğü</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Damping ve Sübvansiyon Araştırma Dairesi</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İnönü Bulvarı No: 36, Emek/ANKARA</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Tel: +90-312-204 77 22/212 87 52</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sz w:val="18"/>
                      <w:szCs w:val="18"/>
                    </w:rPr>
                    <w:t>Faks: +90-312-212 87 65 veya 212 87 11</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u w:val="single"/>
                    </w:rPr>
                  </w:pPr>
                  <w:r w:rsidRPr="000D1FF8">
                    <w:rPr>
                      <w:rFonts w:ascii="Times New Roman" w:eastAsia="ヒラギノ明朝 Pro W3" w:hAnsi="Times New Roman" w:cs="Times New Roman"/>
                      <w:sz w:val="18"/>
                      <w:szCs w:val="18"/>
                    </w:rPr>
                    <w:t xml:space="preserve">E-posta: </w:t>
                  </w:r>
                  <w:r w:rsidRPr="000D1FF8">
                    <w:rPr>
                      <w:rFonts w:ascii="Times New Roman" w:eastAsia="ヒラギノ明朝 Pro W3" w:hAnsi="Times New Roman" w:cs="Times New Roman"/>
                      <w:sz w:val="18"/>
                      <w:szCs w:val="18"/>
                      <w:u w:val="single"/>
                    </w:rPr>
                    <w:t>ngs153@ekonomi.gov.tr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Soruşturmanın başlangıç tarihi</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12 –</w:t>
                  </w:r>
                  <w:r w:rsidRPr="000D1FF8">
                    <w:rPr>
                      <w:rFonts w:ascii="Times New Roman" w:eastAsia="ヒラギノ明朝 Pro W3" w:hAnsi="Times New Roman" w:cs="Times New Roman"/>
                      <w:sz w:val="18"/>
                      <w:szCs w:val="18"/>
                    </w:rPr>
                    <w:t xml:space="preserve"> (1) Soruşturma, bu Tebliğin yayımı tarihinde başlamış kabul edilir.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Yürürlük</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sz w:val="18"/>
                      <w:szCs w:val="18"/>
                    </w:rPr>
                  </w:pPr>
                  <w:r w:rsidRPr="000D1FF8">
                    <w:rPr>
                      <w:rFonts w:ascii="Times New Roman" w:eastAsia="ヒラギノ明朝 Pro W3" w:hAnsi="Times New Roman" w:cs="Times New Roman"/>
                      <w:b/>
                      <w:sz w:val="18"/>
                      <w:szCs w:val="18"/>
                    </w:rPr>
                    <w:t>MADDE 13 –</w:t>
                  </w:r>
                  <w:r w:rsidRPr="000D1FF8">
                    <w:rPr>
                      <w:rFonts w:ascii="Times New Roman" w:eastAsia="ヒラギノ明朝 Pro W3" w:hAnsi="Times New Roman" w:cs="Times New Roman"/>
                      <w:sz w:val="18"/>
                      <w:szCs w:val="18"/>
                    </w:rPr>
                    <w:t xml:space="preserve"> (1) Bu Tebliğ yayımı tarihinde yürürlüğe girer.</w:t>
                  </w:r>
                </w:p>
                <w:p w:rsidR="000D1FF8" w:rsidRPr="000D1FF8" w:rsidRDefault="000D1FF8" w:rsidP="000D1FF8">
                  <w:pPr>
                    <w:tabs>
                      <w:tab w:val="left" w:pos="566"/>
                    </w:tabs>
                    <w:spacing w:after="0" w:line="240" w:lineRule="exact"/>
                    <w:ind w:firstLine="566"/>
                    <w:jc w:val="both"/>
                    <w:rPr>
                      <w:rFonts w:ascii="Times New Roman" w:eastAsia="ヒラギノ明朝 Pro W3" w:hAnsi="Times New Roman" w:cs="Times New Roman"/>
                      <w:b/>
                      <w:sz w:val="18"/>
                      <w:szCs w:val="18"/>
                    </w:rPr>
                  </w:pPr>
                  <w:r w:rsidRPr="000D1FF8">
                    <w:rPr>
                      <w:rFonts w:ascii="Times New Roman" w:eastAsia="ヒラギノ明朝 Pro W3" w:hAnsi="Times New Roman" w:cs="Times New Roman"/>
                      <w:b/>
                      <w:sz w:val="18"/>
                      <w:szCs w:val="18"/>
                    </w:rPr>
                    <w:t>Yürütme</w:t>
                  </w:r>
                </w:p>
                <w:p w:rsidR="000D1FF8" w:rsidRPr="000D1FF8" w:rsidRDefault="000D1FF8" w:rsidP="000D1FF8">
                  <w:pPr>
                    <w:tabs>
                      <w:tab w:val="left" w:pos="566"/>
                    </w:tabs>
                    <w:spacing w:after="0" w:line="240" w:lineRule="exact"/>
                    <w:ind w:firstLine="566"/>
                    <w:jc w:val="both"/>
                    <w:rPr>
                      <w:rFonts w:ascii="Times New Roman" w:eastAsia="ヒラギノ明朝Pro W3" w:hAnsi="Times New Roman" w:cs="Times New Roman"/>
                      <w:sz w:val="18"/>
                      <w:szCs w:val="20"/>
                    </w:rPr>
                  </w:pPr>
                  <w:r w:rsidRPr="000D1FF8">
                    <w:rPr>
                      <w:rFonts w:ascii="Times New Roman" w:eastAsia="ヒラギノ明朝 Pro W3" w:hAnsi="Times New Roman" w:cs="Times New Roman"/>
                      <w:b/>
                      <w:sz w:val="18"/>
                      <w:szCs w:val="18"/>
                    </w:rPr>
                    <w:t>MADDE 14 –</w:t>
                  </w:r>
                  <w:r w:rsidRPr="000D1FF8">
                    <w:rPr>
                      <w:rFonts w:ascii="Times New Roman" w:eastAsia="ヒラギノ明朝 Pro W3" w:hAnsi="Times New Roman" w:cs="Times New Roman"/>
                      <w:sz w:val="18"/>
                      <w:szCs w:val="18"/>
                    </w:rPr>
                    <w:t xml:space="preserve"> (1) Bu Tebliğ hükümlerini Ekonomi Bakanı yürütür.</w:t>
                  </w:r>
                </w:p>
                <w:p w:rsidR="000D1FF8" w:rsidRPr="000D1FF8" w:rsidRDefault="000D1FF8" w:rsidP="000D1FF8">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0D1FF8" w:rsidRPr="000D1FF8" w:rsidRDefault="000D1FF8" w:rsidP="000D1FF8">
            <w:pPr>
              <w:spacing w:after="0" w:line="240" w:lineRule="auto"/>
              <w:jc w:val="center"/>
              <w:rPr>
                <w:rFonts w:ascii="Times New Roman" w:eastAsia="Times New Roman" w:hAnsi="Times New Roman" w:cs="Times New Roman"/>
                <w:sz w:val="20"/>
                <w:szCs w:val="20"/>
                <w:lang w:eastAsia="tr-TR"/>
              </w:rPr>
            </w:pPr>
          </w:p>
        </w:tc>
      </w:tr>
    </w:tbl>
    <w:p w:rsidR="000D1FF8" w:rsidRPr="000D1FF8" w:rsidRDefault="000D1FF8" w:rsidP="000D1FF8">
      <w:pPr>
        <w:spacing w:after="0" w:line="240" w:lineRule="auto"/>
        <w:jc w:val="center"/>
        <w:rPr>
          <w:rFonts w:ascii="Times New Roman" w:eastAsia="Times New Roman" w:hAnsi="Times New Roman" w:cs="Times New Roman"/>
          <w:sz w:val="24"/>
          <w:szCs w:val="24"/>
          <w:lang w:eastAsia="tr-TR"/>
        </w:rPr>
      </w:pPr>
    </w:p>
    <w:p w:rsidR="0078081C" w:rsidRDefault="0078081C"/>
    <w:sectPr w:rsidR="0078081C" w:rsidSect="00780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1FF8"/>
    <w:rsid w:val="000D1FF8"/>
    <w:rsid w:val="0078081C"/>
    <w:rsid w:val="00861F2B"/>
    <w:rsid w:val="00C41677"/>
    <w:rsid w:val="00EA26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F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0D1FF8"/>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0D1FF8"/>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0D1FF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0D1FF8"/>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1659919673">
      <w:bodyDiv w:val="1"/>
      <w:marLeft w:val="0"/>
      <w:marRight w:val="0"/>
      <w:marTop w:val="0"/>
      <w:marBottom w:val="0"/>
      <w:divBdr>
        <w:top w:val="none" w:sz="0" w:space="0" w:color="auto"/>
        <w:left w:val="none" w:sz="0" w:space="0" w:color="auto"/>
        <w:bottom w:val="none" w:sz="0" w:space="0" w:color="auto"/>
        <w:right w:val="none" w:sz="0" w:space="0" w:color="auto"/>
      </w:divBdr>
      <w:divsChild>
        <w:div w:id="1700547705">
          <w:marLeft w:val="0"/>
          <w:marRight w:val="0"/>
          <w:marTop w:val="0"/>
          <w:marBottom w:val="0"/>
          <w:divBdr>
            <w:top w:val="none" w:sz="0" w:space="0" w:color="auto"/>
            <w:left w:val="none" w:sz="0" w:space="0" w:color="auto"/>
            <w:bottom w:val="none" w:sz="0" w:space="0" w:color="auto"/>
            <w:right w:val="none" w:sz="0" w:space="0" w:color="auto"/>
          </w:divBdr>
          <w:divsChild>
            <w:div w:id="18067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1546</Words>
  <Characters>8818</Characters>
  <Application>Microsoft Office Word</Application>
  <DocSecurity>0</DocSecurity>
  <Lines>73</Lines>
  <Paragraphs>20</Paragraphs>
  <ScaleCrop>false</ScaleCrop>
  <Company>itkib</Company>
  <LinksUpToDate>false</LinksUpToDate>
  <CharactersWithSpaces>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1</cp:revision>
  <dcterms:created xsi:type="dcterms:W3CDTF">2013-12-18T07:28:00Z</dcterms:created>
  <dcterms:modified xsi:type="dcterms:W3CDTF">2013-12-18T07:30:00Z</dcterms:modified>
</cp:coreProperties>
</file>