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6" w:rsidRDefault="00031826"/>
    <w:p w:rsidR="00F93FC3" w:rsidRPr="00F93FC3" w:rsidRDefault="00F93FC3" w:rsidP="00F93FC3">
      <w:pPr>
        <w:jc w:val="center"/>
        <w:rPr>
          <w:b/>
        </w:rPr>
      </w:pPr>
      <w:r w:rsidRPr="00F93FC3">
        <w:rPr>
          <w:b/>
        </w:rPr>
        <w:t>EKONOMİ BAKANLIĞI TARAFINDAN HAZIRLANAN</w:t>
      </w:r>
    </w:p>
    <w:p w:rsidR="00F93FC3" w:rsidRPr="00F93FC3" w:rsidRDefault="00F93FC3" w:rsidP="00F93FC3">
      <w:pPr>
        <w:jc w:val="center"/>
        <w:rPr>
          <w:b/>
        </w:rPr>
      </w:pPr>
      <w:r w:rsidRPr="00F93FC3">
        <w:rPr>
          <w:b/>
        </w:rPr>
        <w:t>ARJANTİN’İN ABD GENELLEŞTİRİLMİŞ TERCİHLER SİSTEMİ’NDEN (GTS) ÇIKARILMASININ ÜLKEMİZ İHRACATI AÇISINDAN MUHTEMEL SONUÇLARI</w:t>
      </w:r>
    </w:p>
    <w:p w:rsidR="00F93FC3" w:rsidRPr="00F93FC3" w:rsidRDefault="00F93FC3" w:rsidP="00F93FC3">
      <w:pPr>
        <w:jc w:val="center"/>
        <w:rPr>
          <w:b/>
        </w:rPr>
      </w:pPr>
      <w:r w:rsidRPr="00F93FC3">
        <w:rPr>
          <w:b/>
        </w:rPr>
        <w:t>BİLGİ NOTUNUN ÖZETİ</w:t>
      </w:r>
    </w:p>
    <w:p w:rsidR="00F93FC3" w:rsidRDefault="00F93FC3" w:rsidP="00F93FC3">
      <w:pPr>
        <w:jc w:val="both"/>
      </w:pPr>
      <w:r>
        <w:t>ABD, Arjantin’in Genelleştirilmiş Tercihler Sistemi’nden (GTS) yararlanması</w:t>
      </w:r>
      <w:r w:rsidR="00CA77FA">
        <w:t xml:space="preserve"> statüsünü</w:t>
      </w:r>
      <w:r>
        <w:t xml:space="preserve"> askıya aldı. 26 Mart tarihinde ABD Ticaret Temsilcisi </w:t>
      </w:r>
      <w:proofErr w:type="spellStart"/>
      <w:r>
        <w:t>Ron</w:t>
      </w:r>
      <w:proofErr w:type="spellEnd"/>
      <w:r>
        <w:t xml:space="preserve"> </w:t>
      </w:r>
      <w:proofErr w:type="spellStart"/>
      <w:r>
        <w:t>Kirk</w:t>
      </w:r>
      <w:proofErr w:type="spellEnd"/>
      <w:r>
        <w:t xml:space="preserve"> tarafından açıklan</w:t>
      </w:r>
      <w:r w:rsidR="00F74082">
        <w:t>an k</w:t>
      </w:r>
      <w:r>
        <w:t>arar</w:t>
      </w:r>
      <w:r w:rsidR="00F74082">
        <w:t>ın</w:t>
      </w:r>
      <w:r>
        <w:t xml:space="preserve">, ABD Resmi Gazetesi’nde yayınlanmasının ardından 60 gün içinde yürürlüğe girmesi bekleniyor.  </w:t>
      </w:r>
    </w:p>
    <w:p w:rsidR="00F93FC3" w:rsidRDefault="00F93FC3" w:rsidP="00F26B3F">
      <w:pPr>
        <w:jc w:val="both"/>
      </w:pPr>
      <w:r>
        <w:t>Alınan kararda, Uluslar arası Yatırım Anlaşmazlıklarının Çözümü Merkezi’nin 2005 ve 2006 yıllarında iki ABD’li şirket lehine Arjantin’in ödeme</w:t>
      </w:r>
      <w:r w:rsidR="00F74082">
        <w:t xml:space="preserve"> yapmasını öngören kararlarına Arjantin’in uymaması</w:t>
      </w:r>
      <w:r>
        <w:t xml:space="preserve"> etkili oldu.  </w:t>
      </w:r>
    </w:p>
    <w:p w:rsidR="00F74082" w:rsidRDefault="00F74082" w:rsidP="00F26B3F">
      <w:pPr>
        <w:jc w:val="both"/>
      </w:pPr>
      <w:r>
        <w:t xml:space="preserve">Arjantin, ABD GTS sisteminden en fazla yararlanan ülkeler arasında yer alıyor. Dolayısıyla, Arjantin’in sistemden yararlanmayacak olması ülkemiz açısından rekabet avantajı oluşturabilecektir. </w:t>
      </w:r>
    </w:p>
    <w:p w:rsidR="00F74082" w:rsidRPr="00CC496E" w:rsidRDefault="00F74082" w:rsidP="00F26B3F">
      <w:pPr>
        <w:jc w:val="both"/>
        <w:rPr>
          <w:i/>
          <w:u w:val="single"/>
        </w:rPr>
      </w:pPr>
      <w:r w:rsidRPr="00CC496E">
        <w:rPr>
          <w:i/>
          <w:u w:val="single"/>
        </w:rPr>
        <w:t>2011 yılında ABD’</w:t>
      </w:r>
      <w:r w:rsidR="00F26B3F" w:rsidRPr="00CC496E">
        <w:rPr>
          <w:i/>
          <w:u w:val="single"/>
        </w:rPr>
        <w:t>ye</w:t>
      </w:r>
      <w:r w:rsidRPr="00CC496E">
        <w:rPr>
          <w:i/>
          <w:u w:val="single"/>
        </w:rPr>
        <w:t xml:space="preserve"> GTS kapsamında yapılan ithalatla ilgili veriler:</w:t>
      </w:r>
    </w:p>
    <w:p w:rsidR="00F26B3F" w:rsidRDefault="00F26B3F" w:rsidP="00CC496E">
      <w:pPr>
        <w:jc w:val="both"/>
      </w:pPr>
      <w:r>
        <w:t>Türkiye, 2011 yılında bir önceki yıla göre %12,3 oranında artışla, 701 kalem üründe, 889,6 milyon ABD Doları değerinde, ABD’ye GTS kapsamında ihracat gerçekleştirmiştir. Bu değerle, 7’inci sırada yer almıştır.</w:t>
      </w:r>
      <w:r w:rsidR="00CC496E">
        <w:t xml:space="preserve"> </w:t>
      </w:r>
      <w:r>
        <w:t xml:space="preserve">Türkiye’nin 2011 yılında ABD’ye toplam ihracatının %17’sini, GTS kapsamında yapılan ihracat oluşturmuştur. </w:t>
      </w:r>
    </w:p>
    <w:p w:rsidR="00F26B3F" w:rsidRDefault="00F26B3F" w:rsidP="00CC496E">
      <w:pPr>
        <w:jc w:val="both"/>
      </w:pPr>
      <w:r>
        <w:t>Arjantin, 2011 yılında bir önceki yıla göre %-9,4 oranında azalışla, 470 kalem üründe, 477,1 milyon ABD Doları değerinde, ABD’ye GTS kapsamında ihracat gerçekleştirmiştir. Bu değerle, 9’</w:t>
      </w:r>
      <w:r w:rsidR="00CC496E">
        <w:t xml:space="preserve">uncu sırada yer almıştır. </w:t>
      </w:r>
      <w:r>
        <w:t xml:space="preserve">Arjantin’in 2011 yılında ABD’ye toplam ihracatının %11’ini, GTS kapsamında yapılan ihracat oluşturmuştur. </w:t>
      </w:r>
    </w:p>
    <w:p w:rsidR="0043532C" w:rsidRPr="00CC496E" w:rsidRDefault="0043532C" w:rsidP="0043532C">
      <w:pPr>
        <w:jc w:val="both"/>
        <w:rPr>
          <w:i/>
          <w:u w:val="single"/>
        </w:rPr>
      </w:pPr>
      <w:r>
        <w:rPr>
          <w:i/>
          <w:u w:val="single"/>
        </w:rPr>
        <w:t>Rekabet avantajı oluşan ürünlerle ilgili veriler</w:t>
      </w:r>
      <w:r w:rsidRPr="00CC496E">
        <w:rPr>
          <w:i/>
          <w:u w:val="single"/>
        </w:rPr>
        <w:t>:</w:t>
      </w:r>
    </w:p>
    <w:p w:rsidR="00A20EB1" w:rsidRDefault="006B1151" w:rsidP="00CC496E">
      <w:pPr>
        <w:jc w:val="both"/>
      </w:pPr>
      <w:r>
        <w:t xml:space="preserve">2011 yılında Arjantin’in ABD’ye </w:t>
      </w:r>
      <w:r w:rsidR="00CC496E">
        <w:t xml:space="preserve">GTS </w:t>
      </w:r>
      <w:r>
        <w:t>kapsamında gerçekleştirdiği ilk 60 ürünün 30 tanesi, Türkiye’nin ABD’ye GTS kapsamında ihraç ettiği ürünler arasındadır.</w:t>
      </w:r>
      <w:r w:rsidR="00CC496E">
        <w:t xml:space="preserve"> Bu 30 ortak üründe yapılan ihracat, Arjantin’in ABD’ye GTS kapsamındaki toplam ihracatının %44,3’ünü, Türkiye’nin ise %8,7’sini oluşturmaktadır. Dolayısıyla, Arjantin’in bu ürünlerdeki ihracatının GTS kapsamından çıkartılması, Türkiye açısından rekabet avantajı yaratmaktadır.  </w:t>
      </w:r>
      <w:r>
        <w:t xml:space="preserve">  </w:t>
      </w:r>
    </w:p>
    <w:p w:rsidR="00A20EB1" w:rsidRDefault="00A20EB1">
      <w:r>
        <w:br w:type="page"/>
      </w:r>
    </w:p>
    <w:p w:rsidR="00A20EB1" w:rsidRDefault="00A20EB1" w:rsidP="00A20EB1">
      <w:pPr>
        <w:rPr>
          <w:i/>
          <w:u w:val="single"/>
        </w:rPr>
        <w:sectPr w:rsidR="00A20EB1" w:rsidSect="000318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17D5" w:rsidRPr="00C841A5" w:rsidRDefault="00EF17D5" w:rsidP="00A20EB1">
      <w:pPr>
        <w:rPr>
          <w:i/>
          <w:u w:val="single"/>
        </w:rPr>
      </w:pPr>
      <w:r w:rsidRPr="00C841A5">
        <w:rPr>
          <w:i/>
          <w:u w:val="single"/>
        </w:rPr>
        <w:lastRenderedPageBreak/>
        <w:t>30 ortak ürün arasında yer alan sektör ürünleriyle ilgili bilgiler:</w:t>
      </w:r>
    </w:p>
    <w:tbl>
      <w:tblPr>
        <w:tblStyle w:val="TableGrid"/>
        <w:tblW w:w="5000" w:type="pct"/>
        <w:tblLook w:val="04A0"/>
      </w:tblPr>
      <w:tblGrid>
        <w:gridCol w:w="1283"/>
        <w:gridCol w:w="1271"/>
        <w:gridCol w:w="2016"/>
        <w:gridCol w:w="1021"/>
        <w:gridCol w:w="1021"/>
        <w:gridCol w:w="1135"/>
        <w:gridCol w:w="873"/>
        <w:gridCol w:w="1652"/>
        <w:gridCol w:w="1021"/>
        <w:gridCol w:w="1021"/>
        <w:gridCol w:w="1135"/>
        <w:gridCol w:w="771"/>
      </w:tblGrid>
      <w:tr w:rsidR="00EF17D5" w:rsidRPr="00A20EB1" w:rsidTr="00C841A5">
        <w:tc>
          <w:tcPr>
            <w:tcW w:w="5000" w:type="pct"/>
            <w:gridSpan w:val="12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ARJANTİN VE TÜRKİYE’NİN GTS KAPSAMINDA ABD’YE İHRAÇ ETTİĞİ ORTAK SEKTÖR ÜRÜNLERİ (1000 $)</w:t>
            </w:r>
          </w:p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634FA" w:rsidRPr="00A20EB1" w:rsidTr="00C841A5">
        <w:tc>
          <w:tcPr>
            <w:tcW w:w="451" w:type="pct"/>
            <w:vMerge w:val="restar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GTİP</w:t>
            </w:r>
          </w:p>
        </w:tc>
        <w:tc>
          <w:tcPr>
            <w:tcW w:w="447" w:type="pct"/>
            <w:vMerge w:val="restar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TANIM</w:t>
            </w:r>
          </w:p>
        </w:tc>
        <w:tc>
          <w:tcPr>
            <w:tcW w:w="2133" w:type="pct"/>
            <w:gridSpan w:val="5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ARJANTİN VERİLERİ</w:t>
            </w:r>
          </w:p>
        </w:tc>
        <w:tc>
          <w:tcPr>
            <w:tcW w:w="1969" w:type="pct"/>
            <w:gridSpan w:val="5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TÜRKİYE VERİLERİ</w:t>
            </w:r>
          </w:p>
        </w:tc>
      </w:tr>
      <w:tr w:rsidR="00A20EB1" w:rsidRPr="00A20EB1" w:rsidTr="00C841A5">
        <w:tc>
          <w:tcPr>
            <w:tcW w:w="451" w:type="pct"/>
            <w:vMerge/>
          </w:tcPr>
          <w:p w:rsidR="00EF17D5" w:rsidRPr="00A20EB1" w:rsidRDefault="00EF17D5" w:rsidP="00CC496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EF17D5" w:rsidRPr="00A20EB1" w:rsidRDefault="00EF17D5" w:rsidP="00CC496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ARJANTİN İHRACATINDA SIRALAMA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2010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2011</w:t>
            </w:r>
          </w:p>
        </w:tc>
        <w:tc>
          <w:tcPr>
            <w:tcW w:w="39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DEĞİŞİM</w:t>
            </w:r>
          </w:p>
        </w:tc>
        <w:tc>
          <w:tcPr>
            <w:tcW w:w="307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PAY</w:t>
            </w:r>
          </w:p>
        </w:tc>
        <w:tc>
          <w:tcPr>
            <w:tcW w:w="581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TÜRKİYE İHRACATINDA SIRALAMA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2010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2011</w:t>
            </w:r>
          </w:p>
        </w:tc>
        <w:tc>
          <w:tcPr>
            <w:tcW w:w="39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DEĞİŞİM</w:t>
            </w:r>
          </w:p>
        </w:tc>
        <w:tc>
          <w:tcPr>
            <w:tcW w:w="270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PAY</w:t>
            </w:r>
          </w:p>
        </w:tc>
      </w:tr>
      <w:tr w:rsidR="00A20EB1" w:rsidRPr="00A20EB1" w:rsidTr="00C841A5">
        <w:tc>
          <w:tcPr>
            <w:tcW w:w="451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4107.11.50</w:t>
            </w:r>
          </w:p>
        </w:tc>
        <w:tc>
          <w:tcPr>
            <w:tcW w:w="447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Bütün halindeki post ve deriler – sırçalı deri, parçalanmamış</w:t>
            </w:r>
          </w:p>
        </w:tc>
        <w:tc>
          <w:tcPr>
            <w:tcW w:w="70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21.</w:t>
            </w:r>
            <w:r w:rsidR="00EF17D5" w:rsidRPr="00A20EB1">
              <w:rPr>
                <w:rFonts w:ascii="Arial Narrow" w:hAnsi="Arial Narrow"/>
                <w:sz w:val="18"/>
                <w:szCs w:val="18"/>
              </w:rPr>
              <w:t>166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22.</w:t>
            </w:r>
            <w:r w:rsidR="00EF17D5" w:rsidRPr="00A20EB1">
              <w:rPr>
                <w:rFonts w:ascii="Arial Narrow" w:hAnsi="Arial Narrow"/>
                <w:sz w:val="18"/>
                <w:szCs w:val="18"/>
              </w:rPr>
              <w:t>174</w:t>
            </w:r>
          </w:p>
        </w:tc>
        <w:tc>
          <w:tcPr>
            <w:tcW w:w="39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4,8%</w:t>
            </w:r>
          </w:p>
        </w:tc>
        <w:tc>
          <w:tcPr>
            <w:tcW w:w="307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4,6%</w:t>
            </w:r>
          </w:p>
        </w:tc>
        <w:tc>
          <w:tcPr>
            <w:tcW w:w="581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299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5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99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270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451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4107.91.80</w:t>
            </w:r>
          </w:p>
        </w:tc>
        <w:tc>
          <w:tcPr>
            <w:tcW w:w="447" w:type="pct"/>
            <w:vAlign w:val="center"/>
          </w:tcPr>
          <w:p w:rsidR="00EF17D5" w:rsidRPr="00A20EB1" w:rsidRDefault="00EF17D5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Diğer ileri derecede hazırlanmış deri ve köseleler</w:t>
            </w:r>
            <w:r w:rsidR="00BD7AD6" w:rsidRPr="00A20EB1">
              <w:rPr>
                <w:rFonts w:ascii="Arial Narrow" w:hAnsi="Arial Narrow"/>
                <w:sz w:val="18"/>
                <w:szCs w:val="18"/>
              </w:rPr>
              <w:t xml:space="preserve"> – sırçalı deri, parçalanmamış</w:t>
            </w:r>
          </w:p>
        </w:tc>
        <w:tc>
          <w:tcPr>
            <w:tcW w:w="70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32.474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10.618</w:t>
            </w:r>
          </w:p>
        </w:tc>
        <w:tc>
          <w:tcPr>
            <w:tcW w:w="39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-67,3%</w:t>
            </w:r>
          </w:p>
        </w:tc>
        <w:tc>
          <w:tcPr>
            <w:tcW w:w="307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2,2%</w:t>
            </w:r>
          </w:p>
        </w:tc>
        <w:tc>
          <w:tcPr>
            <w:tcW w:w="581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638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35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99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-88,7%</w:t>
            </w:r>
          </w:p>
        </w:tc>
        <w:tc>
          <w:tcPr>
            <w:tcW w:w="270" w:type="pct"/>
            <w:vAlign w:val="center"/>
          </w:tcPr>
          <w:p w:rsidR="00EF17D5" w:rsidRPr="00A20EB1" w:rsidRDefault="00BD7AD6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451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4107.92.80</w:t>
            </w:r>
          </w:p>
        </w:tc>
        <w:tc>
          <w:tcPr>
            <w:tcW w:w="447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Diğer ileri derecede hazırlanmış deri ve köseleler – yarma deriler</w:t>
            </w:r>
          </w:p>
        </w:tc>
        <w:tc>
          <w:tcPr>
            <w:tcW w:w="70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5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4.335</w:t>
            </w:r>
          </w:p>
        </w:tc>
        <w:tc>
          <w:tcPr>
            <w:tcW w:w="35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6.116</w:t>
            </w:r>
          </w:p>
        </w:tc>
        <w:tc>
          <w:tcPr>
            <w:tcW w:w="39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41,1%</w:t>
            </w:r>
          </w:p>
        </w:tc>
        <w:tc>
          <w:tcPr>
            <w:tcW w:w="307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1,3%</w:t>
            </w:r>
          </w:p>
        </w:tc>
        <w:tc>
          <w:tcPr>
            <w:tcW w:w="581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328</w:t>
            </w:r>
          </w:p>
        </w:tc>
        <w:tc>
          <w:tcPr>
            <w:tcW w:w="35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85</w:t>
            </w:r>
          </w:p>
        </w:tc>
        <w:tc>
          <w:tcPr>
            <w:tcW w:w="35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399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3,8%</w:t>
            </w:r>
          </w:p>
        </w:tc>
        <w:tc>
          <w:tcPr>
            <w:tcW w:w="270" w:type="pct"/>
            <w:vAlign w:val="center"/>
          </w:tcPr>
          <w:p w:rsidR="00BD7AD6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451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4107.12.50</w:t>
            </w:r>
          </w:p>
        </w:tc>
        <w:tc>
          <w:tcPr>
            <w:tcW w:w="447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Bütün halindeki post ve deriler – yarma deriler</w:t>
            </w:r>
          </w:p>
        </w:tc>
        <w:tc>
          <w:tcPr>
            <w:tcW w:w="70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35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1.589</w:t>
            </w:r>
          </w:p>
        </w:tc>
        <w:tc>
          <w:tcPr>
            <w:tcW w:w="35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2.983</w:t>
            </w:r>
          </w:p>
        </w:tc>
        <w:tc>
          <w:tcPr>
            <w:tcW w:w="39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87,7%</w:t>
            </w:r>
          </w:p>
        </w:tc>
        <w:tc>
          <w:tcPr>
            <w:tcW w:w="307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0,6%</w:t>
            </w:r>
          </w:p>
        </w:tc>
        <w:tc>
          <w:tcPr>
            <w:tcW w:w="581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677</w:t>
            </w:r>
          </w:p>
        </w:tc>
        <w:tc>
          <w:tcPr>
            <w:tcW w:w="35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35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99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270" w:type="pct"/>
            <w:vAlign w:val="center"/>
          </w:tcPr>
          <w:p w:rsidR="0052203D" w:rsidRPr="00A20EB1" w:rsidRDefault="0052203D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451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4203.30.00</w:t>
            </w:r>
          </w:p>
        </w:tc>
        <w:tc>
          <w:tcPr>
            <w:tcW w:w="447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Bel kemerleri, kılıç kayışı ve palaskaları – tabii ve terkip yoluyla elde edilen deri ve köseleden</w:t>
            </w:r>
          </w:p>
        </w:tc>
        <w:tc>
          <w:tcPr>
            <w:tcW w:w="70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35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1.371</w:t>
            </w:r>
          </w:p>
        </w:tc>
        <w:tc>
          <w:tcPr>
            <w:tcW w:w="35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1.743</w:t>
            </w:r>
          </w:p>
        </w:tc>
        <w:tc>
          <w:tcPr>
            <w:tcW w:w="39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27,1%</w:t>
            </w:r>
          </w:p>
        </w:tc>
        <w:tc>
          <w:tcPr>
            <w:tcW w:w="307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0,4%</w:t>
            </w:r>
          </w:p>
        </w:tc>
        <w:tc>
          <w:tcPr>
            <w:tcW w:w="581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261</w:t>
            </w:r>
          </w:p>
        </w:tc>
        <w:tc>
          <w:tcPr>
            <w:tcW w:w="35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148</w:t>
            </w:r>
          </w:p>
        </w:tc>
        <w:tc>
          <w:tcPr>
            <w:tcW w:w="35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160</w:t>
            </w:r>
          </w:p>
        </w:tc>
        <w:tc>
          <w:tcPr>
            <w:tcW w:w="399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7,9%</w:t>
            </w:r>
          </w:p>
        </w:tc>
        <w:tc>
          <w:tcPr>
            <w:tcW w:w="270" w:type="pct"/>
            <w:vAlign w:val="center"/>
          </w:tcPr>
          <w:p w:rsidR="00F634FA" w:rsidRPr="00A20EB1" w:rsidRDefault="00F634FA" w:rsidP="00EF17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0EB1">
              <w:rPr>
                <w:rFonts w:ascii="Arial Narrow" w:hAnsi="Arial Narrow"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1607" w:type="pct"/>
            <w:gridSpan w:val="3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TOPLAM DERİ ÜRÜNLERİ</w:t>
            </w:r>
          </w:p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60.935</w:t>
            </w: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43.634</w:t>
            </w:r>
          </w:p>
        </w:tc>
        <w:tc>
          <w:tcPr>
            <w:tcW w:w="39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18,7%</w:t>
            </w:r>
          </w:p>
        </w:tc>
        <w:tc>
          <w:tcPr>
            <w:tcW w:w="307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9,1%</w:t>
            </w:r>
          </w:p>
        </w:tc>
        <w:tc>
          <w:tcPr>
            <w:tcW w:w="581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267</w:t>
            </w: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256</w:t>
            </w:r>
          </w:p>
        </w:tc>
        <w:tc>
          <w:tcPr>
            <w:tcW w:w="39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-25,7%</w:t>
            </w:r>
          </w:p>
        </w:tc>
        <w:tc>
          <w:tcPr>
            <w:tcW w:w="270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0,0%</w:t>
            </w:r>
          </w:p>
        </w:tc>
      </w:tr>
      <w:tr w:rsidR="00C841A5" w:rsidRPr="00A20EB1" w:rsidTr="00C841A5">
        <w:tc>
          <w:tcPr>
            <w:tcW w:w="1607" w:type="pct"/>
            <w:gridSpan w:val="3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GTS GENEL TOPLAM</w:t>
            </w:r>
          </w:p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526.369</w:t>
            </w: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477.127</w:t>
            </w:r>
          </w:p>
        </w:tc>
        <w:tc>
          <w:tcPr>
            <w:tcW w:w="39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-9,4%</w:t>
            </w:r>
          </w:p>
        </w:tc>
        <w:tc>
          <w:tcPr>
            <w:tcW w:w="307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44,3%</w:t>
            </w:r>
          </w:p>
        </w:tc>
        <w:tc>
          <w:tcPr>
            <w:tcW w:w="581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792,209</w:t>
            </w:r>
          </w:p>
        </w:tc>
        <w:tc>
          <w:tcPr>
            <w:tcW w:w="35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889,563</w:t>
            </w:r>
          </w:p>
        </w:tc>
        <w:tc>
          <w:tcPr>
            <w:tcW w:w="399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12,3%</w:t>
            </w:r>
          </w:p>
        </w:tc>
        <w:tc>
          <w:tcPr>
            <w:tcW w:w="270" w:type="pct"/>
            <w:vAlign w:val="center"/>
          </w:tcPr>
          <w:p w:rsidR="00C841A5" w:rsidRPr="00A20EB1" w:rsidRDefault="00C841A5" w:rsidP="00EF17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0EB1">
              <w:rPr>
                <w:rFonts w:ascii="Arial Narrow" w:hAnsi="Arial Narrow"/>
                <w:b/>
                <w:sz w:val="18"/>
                <w:szCs w:val="18"/>
              </w:rPr>
              <w:t>8,7%</w:t>
            </w:r>
          </w:p>
        </w:tc>
      </w:tr>
    </w:tbl>
    <w:p w:rsidR="00EF17D5" w:rsidRDefault="00EF17D5" w:rsidP="00CC496E">
      <w:pPr>
        <w:jc w:val="both"/>
      </w:pPr>
    </w:p>
    <w:sectPr w:rsidR="00EF17D5" w:rsidSect="00A20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F7C"/>
    <w:multiLevelType w:val="hybridMultilevel"/>
    <w:tmpl w:val="2B9453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3FC3"/>
    <w:rsid w:val="00031826"/>
    <w:rsid w:val="00225F4A"/>
    <w:rsid w:val="002C5C83"/>
    <w:rsid w:val="0043532C"/>
    <w:rsid w:val="0052203D"/>
    <w:rsid w:val="006B1151"/>
    <w:rsid w:val="00A20EB1"/>
    <w:rsid w:val="00BD7AD6"/>
    <w:rsid w:val="00C841A5"/>
    <w:rsid w:val="00CA77FA"/>
    <w:rsid w:val="00CC496E"/>
    <w:rsid w:val="00EF17D5"/>
    <w:rsid w:val="00F26B3F"/>
    <w:rsid w:val="00F634FA"/>
    <w:rsid w:val="00F74082"/>
    <w:rsid w:val="00F9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B3F"/>
    <w:pPr>
      <w:ind w:left="720"/>
      <w:contextualSpacing/>
    </w:pPr>
  </w:style>
  <w:style w:type="table" w:styleId="TableGrid">
    <w:name w:val="Table Grid"/>
    <w:basedOn w:val="TableNormal"/>
    <w:uiPriority w:val="59"/>
    <w:rsid w:val="00EF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itkib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ozana</dc:creator>
  <cp:keywords/>
  <dc:description/>
  <cp:lastModifiedBy>ozana</cp:lastModifiedBy>
  <cp:revision>12</cp:revision>
  <dcterms:created xsi:type="dcterms:W3CDTF">2012-04-11T10:51:00Z</dcterms:created>
  <dcterms:modified xsi:type="dcterms:W3CDTF">2012-04-11T12:48:00Z</dcterms:modified>
</cp:coreProperties>
</file>