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o"/>
        <w:tblW w:w="0" w:type="auto"/>
        <w:jc w:val="center"/>
        <w:tblInd w:w="108" w:type="dxa"/>
        <w:tblLook w:val="01E0"/>
      </w:tblPr>
      <w:tblGrid>
        <w:gridCol w:w="9104"/>
      </w:tblGrid>
      <w:tr w:rsidR="00534CAC" w:rsidRPr="00534CAC" w:rsidTr="00534CAC">
        <w:trPr>
          <w:jc w:val="center"/>
        </w:trPr>
        <w:tc>
          <w:tcPr>
            <w:tcW w:w="9104" w:type="dxa"/>
            <w:hideMark/>
          </w:tcPr>
          <w:tbl>
            <w:tblPr>
              <w:tblStyle w:val="NormalTablo"/>
              <w:tblW w:w="8789" w:type="dxa"/>
              <w:jc w:val="center"/>
              <w:tblInd w:w="0" w:type="dxa"/>
              <w:tblLook w:val="01E0"/>
            </w:tblPr>
            <w:tblGrid>
              <w:gridCol w:w="2931"/>
              <w:gridCol w:w="2931"/>
              <w:gridCol w:w="2927"/>
            </w:tblGrid>
            <w:tr w:rsidR="00534CAC" w:rsidRPr="00534CAC">
              <w:trPr>
                <w:trHeight w:val="317"/>
                <w:jc w:val="center"/>
              </w:trPr>
              <w:tc>
                <w:tcPr>
                  <w:tcW w:w="2931" w:type="dxa"/>
                  <w:tcBorders>
                    <w:top w:val="nil"/>
                    <w:left w:val="nil"/>
                    <w:bottom w:val="single" w:sz="4" w:space="0" w:color="660066"/>
                    <w:right w:val="nil"/>
                  </w:tcBorders>
                  <w:vAlign w:val="center"/>
                  <w:hideMark/>
                </w:tcPr>
                <w:p w:rsidR="00534CAC" w:rsidRPr="00534CAC" w:rsidRDefault="00534CAC" w:rsidP="00534CAC">
                  <w:pPr>
                    <w:tabs>
                      <w:tab w:val="left" w:pos="567"/>
                      <w:tab w:val="center" w:pos="994"/>
                      <w:tab w:val="center" w:pos="3543"/>
                      <w:tab w:val="right" w:pos="6520"/>
                    </w:tabs>
                    <w:spacing w:line="240" w:lineRule="exact"/>
                    <w:rPr>
                      <w:rFonts w:ascii="Arial" w:hAnsi="Arial" w:cs="Arial"/>
                      <w:b/>
                      <w:sz w:val="16"/>
                      <w:szCs w:val="16"/>
                    </w:rPr>
                  </w:pPr>
                  <w:r w:rsidRPr="00534CAC">
                    <w:rPr>
                      <w:rFonts w:ascii="Arial" w:hAnsi="Arial" w:cs="Arial"/>
                      <w:sz w:val="16"/>
                      <w:szCs w:val="16"/>
                    </w:rPr>
                    <w:t>10 Nisan 2015 CUMA</w:t>
                  </w:r>
                </w:p>
              </w:tc>
              <w:tc>
                <w:tcPr>
                  <w:tcW w:w="2931" w:type="dxa"/>
                  <w:tcBorders>
                    <w:top w:val="nil"/>
                    <w:left w:val="nil"/>
                    <w:bottom w:val="single" w:sz="4" w:space="0" w:color="660066"/>
                    <w:right w:val="nil"/>
                  </w:tcBorders>
                  <w:vAlign w:val="center"/>
                  <w:hideMark/>
                </w:tcPr>
                <w:p w:rsidR="00534CAC" w:rsidRPr="00534CAC" w:rsidRDefault="00534CAC" w:rsidP="00534CAC">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534CAC">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534CAC" w:rsidRPr="00534CAC" w:rsidRDefault="00534CAC" w:rsidP="00534CAC">
                  <w:pPr>
                    <w:spacing w:before="100" w:beforeAutospacing="1" w:after="100" w:afterAutospacing="1"/>
                    <w:jc w:val="right"/>
                    <w:rPr>
                      <w:rFonts w:ascii="Arial" w:hAnsi="Arial" w:cs="Arial"/>
                      <w:sz w:val="16"/>
                      <w:szCs w:val="16"/>
                    </w:rPr>
                  </w:pPr>
                  <w:r w:rsidRPr="00534CAC">
                    <w:rPr>
                      <w:rFonts w:ascii="Arial" w:hAnsi="Arial" w:cs="Arial"/>
                      <w:sz w:val="16"/>
                      <w:szCs w:val="16"/>
                    </w:rPr>
                    <w:t>Sayı : 29322</w:t>
                  </w:r>
                </w:p>
              </w:tc>
            </w:tr>
            <w:tr w:rsidR="00534CAC" w:rsidRPr="00534CAC">
              <w:trPr>
                <w:trHeight w:val="480"/>
                <w:jc w:val="center"/>
              </w:trPr>
              <w:tc>
                <w:tcPr>
                  <w:tcW w:w="8789" w:type="dxa"/>
                  <w:gridSpan w:val="3"/>
                  <w:vAlign w:val="center"/>
                  <w:hideMark/>
                </w:tcPr>
                <w:p w:rsidR="00534CAC" w:rsidRPr="00534CAC" w:rsidRDefault="00534CAC" w:rsidP="00534CAC">
                  <w:pPr>
                    <w:spacing w:before="100" w:beforeAutospacing="1" w:after="100" w:afterAutospacing="1"/>
                    <w:jc w:val="center"/>
                    <w:rPr>
                      <w:rFonts w:ascii="Arial" w:hAnsi="Arial" w:cs="Arial"/>
                      <w:b/>
                      <w:color w:val="000080"/>
                      <w:sz w:val="18"/>
                      <w:szCs w:val="18"/>
                    </w:rPr>
                  </w:pPr>
                  <w:r w:rsidRPr="00534CAC">
                    <w:rPr>
                      <w:rFonts w:ascii="Arial" w:hAnsi="Arial" w:cs="Arial"/>
                      <w:b/>
                      <w:color w:val="000080"/>
                      <w:sz w:val="18"/>
                      <w:szCs w:val="18"/>
                    </w:rPr>
                    <w:t>TEBLİĞ</w:t>
                  </w:r>
                </w:p>
              </w:tc>
            </w:tr>
            <w:tr w:rsidR="00534CAC" w:rsidRPr="00534CAC">
              <w:trPr>
                <w:trHeight w:val="480"/>
                <w:jc w:val="center"/>
              </w:trPr>
              <w:tc>
                <w:tcPr>
                  <w:tcW w:w="8789" w:type="dxa"/>
                  <w:gridSpan w:val="3"/>
                  <w:vAlign w:val="center"/>
                </w:tcPr>
                <w:p w:rsidR="00534CAC" w:rsidRPr="00534CAC" w:rsidRDefault="00534CAC" w:rsidP="00534CAC">
                  <w:pPr>
                    <w:tabs>
                      <w:tab w:val="left" w:pos="566"/>
                    </w:tabs>
                    <w:spacing w:line="240" w:lineRule="exact"/>
                    <w:ind w:firstLine="566"/>
                    <w:jc w:val="both"/>
                    <w:rPr>
                      <w:sz w:val="18"/>
                      <w:szCs w:val="18"/>
                      <w:u w:val="single"/>
                    </w:rPr>
                  </w:pPr>
                  <w:r w:rsidRPr="00534CAC">
                    <w:rPr>
                      <w:sz w:val="18"/>
                      <w:szCs w:val="18"/>
                      <w:u w:val="single"/>
                    </w:rPr>
                    <w:t>Ekonomi Bakanlığından:</w:t>
                  </w:r>
                </w:p>
                <w:p w:rsidR="00534CAC" w:rsidRPr="00534CAC" w:rsidRDefault="00534CAC" w:rsidP="00534CAC">
                  <w:pPr>
                    <w:tabs>
                      <w:tab w:val="left" w:pos="566"/>
                    </w:tabs>
                    <w:spacing w:line="240" w:lineRule="exact"/>
                    <w:jc w:val="center"/>
                    <w:rPr>
                      <w:b/>
                      <w:sz w:val="18"/>
                      <w:szCs w:val="18"/>
                    </w:rPr>
                  </w:pPr>
                  <w:r w:rsidRPr="00534CAC">
                    <w:rPr>
                      <w:b/>
                      <w:sz w:val="18"/>
                      <w:szCs w:val="18"/>
                    </w:rPr>
                    <w:t>İTHALATTA HAKSIZ REKABETİN ÖNLENMESİNE İLİŞKİN TEBLİĞ</w:t>
                  </w:r>
                </w:p>
                <w:p w:rsidR="00534CAC" w:rsidRPr="00534CAC" w:rsidRDefault="00534CAC" w:rsidP="00534CAC">
                  <w:pPr>
                    <w:tabs>
                      <w:tab w:val="left" w:pos="566"/>
                    </w:tabs>
                    <w:spacing w:line="240" w:lineRule="exact"/>
                    <w:jc w:val="center"/>
                    <w:rPr>
                      <w:b/>
                      <w:sz w:val="18"/>
                      <w:szCs w:val="18"/>
                    </w:rPr>
                  </w:pPr>
                  <w:r w:rsidRPr="00534CAC">
                    <w:rPr>
                      <w:b/>
                      <w:sz w:val="18"/>
                      <w:szCs w:val="18"/>
                    </w:rPr>
                    <w:t>(TEBLİĞ NO: 2015/7)</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Yasal dayanak ve başvuru</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1 –</w:t>
                  </w:r>
                  <w:r w:rsidRPr="00534CAC">
                    <w:rPr>
                      <w:sz w:val="18"/>
                      <w:szCs w:val="18"/>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Yönetmelikten (Yönetmelik) oluşan ithalatta haksız rekabetin önlenmesi hakkında mevzuat (mevzuat) hükümleri çerçevesinde yapılan nihai gözden geçirme soruşturması başvurusu ile bu başvuruya ilişkin olarak söz konusu mevzuat kapsamında yapılan incelemenin sonuçlarını içermektedir.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Türkiye Ev Tekstili Sanayicileri ve İşadamları Derneği (TETSİAD) tarafından yerli üretici üyeleri adına, Çin Halk Cumhuriyeti (ÇHC) menşeli "suni veya sentetik liflerden belirli mensucat veya tekstil ürünleri" ithalinde halen uygulanmakta olan dampinge karşı önlemin sona ermesinin damping ve zararın devamına veya yeniden meydana gelmesine yol açacağı gerekçesiyle bir nihai gözden geçirme soruşturması açılması istemiyle başvuruda bulunulmuştur.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Önleme tabi ürün</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2 –</w:t>
                  </w:r>
                  <w:r w:rsidRPr="00534CAC">
                    <w:rPr>
                      <w:sz w:val="18"/>
                      <w:szCs w:val="18"/>
                    </w:rPr>
                    <w:t xml:space="preserve"> (1) Önleme tabi ürün 54.07 gümrük tarife pozisyonu (GTP) altında perdelik ve döşemelik mensucat için olanlar ile 5810.92.10.00.00, 5810.92.90.00.00, 6005.31.10.00.00, 6005.32.10.00.00, 6005.33.10.00.00, 6005.34.10.00.00, 6006.31.10.00.00, 6006.32.10.00.00, 6006.33.10.00.00, 6006.34.10.00.00, 6303.12.00.00.00 gümrük tarife istatistik pozisyonları (GTİP) ve 6303.92 GTP altında yer alan suni veya sentetik liflerden belirli mensucat veya tekstil ürünleridir. Önlem kapsamında olan GTİP’ler Ek’te verilmektedir.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Bahse konu GTİP’ler, yalnızca bilgi amaçlı verilmiş olup, bağlayıcı mahiyette değildir.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(3) Önleme tabi ürünün Türk Gümrük Tarife Cetvelinde yer alan tarife pozisyonunda ve/veya eşya tanımında yapılacak değişiklikler bu Tebliğ hükümlerinin uygulanmasına halel getirmez.</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Başvurunun temsil niteliği</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3 –</w:t>
                  </w:r>
                  <w:r w:rsidRPr="00534CAC">
                    <w:rPr>
                      <w:sz w:val="18"/>
                      <w:szCs w:val="18"/>
                    </w:rPr>
                    <w:t xml:space="preserve"> (1) Başvuru aşamasında sunulan delillerden, başvurunun Yönetmeliğin 20 nci maddesi çerçevesinde yerli üretim dalının temsil niteliğini haiz olduğu anlaşılmıştır.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Mevcut önlem</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 xml:space="preserve">MADDE 4 – </w:t>
                  </w:r>
                  <w:r w:rsidRPr="00534CAC">
                    <w:rPr>
                      <w:sz w:val="18"/>
                      <w:szCs w:val="18"/>
                    </w:rPr>
                    <w:t>(1) 11/4/2010 tarihli ve 27549 sayılı Resmî Gazete’de yayımlanan İthalatta Haksız Rekabetin Önlenmesine İlişkin Tebliğ (Tebliğ No: 2010/8) ile ÇHC menşeli suni veya sentetik liflerden belirli mensucat veya tekstil ürünleri ithalinde dampinge karşı kesin önlem yürürlüğe konulmuştur.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Bu kapsamda, ÇHC menşeli olanlar için CIF değerin %70,44’ü (Azami 5 ABD Doları/Kg) oranında dampinge karşı önlem uygulanmaktadır.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Gerekçe</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 xml:space="preserve">MADDE 5 – </w:t>
                  </w:r>
                  <w:r w:rsidRPr="00534CAC">
                    <w:rPr>
                      <w:sz w:val="18"/>
                      <w:szCs w:val="18"/>
                    </w:rPr>
                    <w:t>(1) 19/7/2014 tarihli ve 29065 sayılı Resmî Gazete’de yayımlanan İthalatta Haksız Rekabetin Önlenmesine İlişkin Tebliğ (Tebliğ No: 2014/21) ile mevcut önlemin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Bu çerçevede yapılan başvurunun incelenmesi neticesinde, ÇHC menşeli önleme konu ürün için uygulanan dampinge karşı önlemin yürürlükten kalkması halinde dampingin ve zararın devam etmesi veya yeniden meydana gelmesinin muhtemel olduğuna ilişkin olarak bir nihai gözden geçirme soruşturması açılması için yeterli delillerin bulunduğu anlaşılmıştır.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Karar ve işlemler</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6 –</w:t>
                  </w:r>
                  <w:r w:rsidRPr="00534CAC">
                    <w:rPr>
                      <w:sz w:val="18"/>
                      <w:szCs w:val="18"/>
                    </w:rPr>
                    <w:t xml:space="preserve"> (1) Bir nihai gözden geçirme soruşturmasının açılabilmesi için yeterli bilgi, belge ve delillerin bulunduğu anlaşıldığından, İthalatta Haksız Rekabeti Değerlendirme Kurulu tarafından ÇHC menşeli söz konusu ürün için Yönetmeliğin 35 inci maddesi çerçevesinde bir nihai gözden geçirme soruşturması açılmasına karar verilmiştir.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Başvuruya konu ÇHC menşeli suni veya sentetik liflerden belirli mensucat veya tekstil ürünlerine yönelik yürürlükte bulunan mevcut önlem, Yönetmeliğin 35 inci maddesi gereğince, soruşturma sonuçlanıncaya kadar yürürlükte kalmaya devam edecektir.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(3) Soruşturma, Ekonomi Bakanlığı İthalat Genel Müdürlüğü (Genel Müdürlük) tarafından yürütülecektir.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Piyasa ekonomisinin uygulandığı üçüncü ülkenin seçimi</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 xml:space="preserve">MADDE 7 – </w:t>
                  </w:r>
                  <w:r w:rsidRPr="00534CAC">
                    <w:rPr>
                      <w:sz w:val="18"/>
                      <w:szCs w:val="18"/>
                    </w:rPr>
                    <w:t xml:space="preserve">(1) Genel Müdürlük tarafından Yönetmeliğin 40 ıncı ve 41 inci maddelerinde öngörülen hükümler saklı kalmak üzere soruşturma kapsamında normal değer tespitine karar verilmesi halinde; ÇHC’de soruşturmaya tabi üretici veya üreticilerin soruşturma konusu ürünün üretiminde ve satışında Yönetmeliğin ek 1 inci </w:t>
                  </w:r>
                  <w:r w:rsidRPr="00534CAC">
                    <w:rPr>
                      <w:sz w:val="18"/>
                      <w:szCs w:val="18"/>
                    </w:rPr>
                    <w:lastRenderedPageBreak/>
                    <w:t>maddesindeki ölçütler çerçevesinde piyasa ekonomisi koşullarının geçerli olduğunu bu Tebliğin 9 uncu maddesinde belirtilen süreler içinde yeterli deliller ile ispat etmesi durumunda bu üretici veya üreticiler için normal değerin tespitinde Yönetmeliğin 5 inci maddesi, aksi takdirde Yönetmeliğin 7 nci maddesi hükümleri uygulanır. Yönetmeliğin 7 nci maddesi hükümlerinin uygulanması halinde adı geçen ülke için piyasa ekonomisi uygulayan emsal ülke olarak Türkiye’nin seçilmesi öngörülmektedir.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Soru formları ve bilgilerin toplanması</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8 –</w:t>
                  </w:r>
                  <w:r w:rsidRPr="00534CAC">
                    <w:rPr>
                      <w:sz w:val="18"/>
                      <w:szCs w:val="18"/>
                    </w:rPr>
                    <w:t xml:space="preserve"> (1) Soruşturma açılmasını müteakip, başvuruda belirtilen ve Bakanlıkça tespit edilen soruşturmaya konu ürünün ithalatçılarına, soruşturma konusu ülkede yerleşik bilinen üretici/ihracatçılarına ve ÇHC Ankara Büyükelçiliğine soruşturmanın açılışına ilişkin bildirimde bulunulacaktır.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Bildirimde, soruşturma açılış Tebliğine, başvurunun gizli olmayan özetine ve soru formlarına nasıl erişileceği hususunda bilgi verilecektir.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(3) Bakanlıkça tespit edilememesi nedeniyle bildirim gönderilemeyen veya kendilerine bildirim ulaşmayan diğer ilgili tarafların soru formuna Ekonomi Bakanlığına ait internet sayfasındaki ilgili bölümden erişmeleri mümkün bulunmaktadır.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(4) Soruşturmaya ilişkin yazılı ve sözlü iletişimler Türkçe yapılacaktır. İlgili tarafların soru formuna ilişkin yanıtlarını ve bu yanıtlar dışında kalan tüm bilgi, belge, görüş ve taleplerini yazılı olarak Türkçe sunmaları gerekmektedir.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(5) İlgili taraflar, soru formunda istenilen bilgiler haricinde, soruşturmayla ilgili olduğu düşünülen diğer bilgi, belge ve görüşlerini, destekleyici deliller ile birlikte Genel Müdürlüğe 9 uncu maddenin ikinci fıkrasında belirtilen süre içerisinde sunabilirler.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(6) Soruşturmanın sonucundan etkilenebileceklerini iddia eden, ancak birinci ve üçüncü fıkralar kapsamına girmeyen diğer ilgili taraflar (ürünü girdi olarak kullanan işletmeler, bunların meslek kuruluşları, tüketici dernekleri, üretim dalındaki işçi veya işveren sendikaları gibi) görüşlerini Genel Müdürlüğe 9 uncu maddenin üçüncü fıkrasında belirtilen süre içerisinde sunabilirler.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(7) Sunumlarda ilgili tarafların isim ve unvanı, adres bilgileri, elektronik posta adresi, telefon ve faks numaraları yazılı olarak belirtilir.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(8) Soruşturma süresince Yönetmeliğin 22 nci maddesinin ikinci ve üçüncü fıkraları çerçevesinde gizlilik kaydıyla verilen her tür bilgi, belge ve görüşün gizli olmayan bir özeti sunulur. Gizli olmayan özet, esas bilginin makul ölçüde anlaşılmasına olanak sağlayacak ayrıntıda olur. İlgili taraflar, istisnai hallerde bu bilgilerin özetlenemeyecek nitelikte olduklarını belirtebilirler. Bu gibi istisnai durumlarda, bilgilerin özetlenemeyecek nitelikte olmasının nedenlerinin belirtilmesi gerekir.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Süreler</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9 –</w:t>
                  </w:r>
                  <w:r w:rsidRPr="00534CAC">
                    <w:rPr>
                      <w:sz w:val="18"/>
                      <w:szCs w:val="18"/>
                    </w:rPr>
                    <w:t xml:space="preserve"> (1) 8 inci maddenin birinci fıkrasında belirtilen bildirimin gönderildiği bütün ilgili taraflar için soru formunu cevaplandırma süresi, soruşturmanın açılışına ilişkin bildirimin gönderildiği tarihten itibaren posta süresi dâhil 37 gündür.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8 inci maddenin üçüncü fıkrasında belirtilen bildirimin gönderilmediği bütün ilgili taraflar, soruşturma ile ilgili görüşlerini ve soru formuna ilişkin cevaplarını bu Tebliğin yayımı tarihinden itibaren başlayacak 37 günlük süre içerisinde sunabilirler.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(3) Soruşturmanın sonucundan etkilenebileceklerini iddia eden, ancak 8 inci maddenin beşinci fıkrası kapsamına giren diğer ilgili taraflar, soruşturma ile ilgili görüşlerini bu Tebliğin yayımı tarihinden itibaren soruşturmanın akışını etkilemeyecek şekilde soruşturma süreci içerisinde sunabilirler.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İşbirliğine gelinmemesi</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 xml:space="preserve">MADDE 10 – </w:t>
                  </w:r>
                  <w:r w:rsidRPr="00534CAC">
                    <w:rPr>
                      <w:sz w:val="18"/>
                      <w:szCs w:val="18"/>
                    </w:rPr>
                    <w:t>(1) Yönetmeliğin 26 ncı maddesi hükmü çerçevesinde, ilgili taraflardan birinin verilen süreler dahilinde ve istenilen biçimde gerekli bilgi ve belgeleri sağlamaması ya da bu bilgi ve belgelere erişimi reddetmesi,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(2) İlgili tarafların işbirliğine gelmemesi veya kısmen işbirliğine gelmesi halinde bahse konu taraf için soruşturmanın sonucu işbirliğine gelinmesine nazaran daha az avantajlı olabilir.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Yetkili merci ve adresi</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 xml:space="preserve">MADDE 11 – </w:t>
                  </w:r>
                  <w:r w:rsidRPr="00534CAC">
                    <w:rPr>
                      <w:sz w:val="18"/>
                      <w:szCs w:val="18"/>
                    </w:rPr>
                    <w:t>(1) Soruşturmayla ilgili bilgi ve belgeler ile görüşlerin aşağıda belirtilen yetkili mercie iletilmesi gerekmektedir:</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T.C. Ekonomi Bakanlığı</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İthalat Genel Müdürlüğü</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Damping ve Sübvansiyon Araştırma Dairesi</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İnönü Bulvarı No: 36, Emek/ANKARA</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Tel: +90-312-204 77 02</w:t>
                  </w:r>
                </w:p>
                <w:p w:rsidR="00534CAC" w:rsidRPr="00534CAC" w:rsidRDefault="00534CAC" w:rsidP="00534CAC">
                  <w:pPr>
                    <w:tabs>
                      <w:tab w:val="left" w:pos="566"/>
                    </w:tabs>
                    <w:spacing w:line="240" w:lineRule="exact"/>
                    <w:ind w:firstLine="566"/>
                    <w:jc w:val="both"/>
                    <w:rPr>
                      <w:sz w:val="18"/>
                      <w:szCs w:val="18"/>
                    </w:rPr>
                  </w:pPr>
                  <w:r w:rsidRPr="00534CAC">
                    <w:rPr>
                      <w:sz w:val="18"/>
                      <w:szCs w:val="18"/>
                    </w:rPr>
                    <w:t>Faks: +90-312-204 86 33</w:t>
                  </w:r>
                </w:p>
                <w:p w:rsidR="00534CAC" w:rsidRPr="00534CAC" w:rsidRDefault="00534CAC" w:rsidP="00534CAC">
                  <w:pPr>
                    <w:tabs>
                      <w:tab w:val="left" w:pos="566"/>
                    </w:tabs>
                    <w:spacing w:line="240" w:lineRule="exact"/>
                    <w:ind w:firstLine="566"/>
                    <w:jc w:val="both"/>
                    <w:rPr>
                      <w:sz w:val="18"/>
                      <w:szCs w:val="18"/>
                    </w:rPr>
                  </w:pPr>
                  <w:r w:rsidRPr="00534CAC">
                    <w:rPr>
                      <w:sz w:val="18"/>
                      <w:szCs w:val="18"/>
                    </w:rPr>
                    <w:lastRenderedPageBreak/>
                    <w:t>E-posta: ngs207@ekonomi.gov.tr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Soruşturmanın başlangıç tarihi</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12 –</w:t>
                  </w:r>
                  <w:r w:rsidRPr="00534CAC">
                    <w:rPr>
                      <w:sz w:val="18"/>
                      <w:szCs w:val="18"/>
                    </w:rPr>
                    <w:t xml:space="preserve"> (1) Soruşturma, bu Tebliğin yayımı tarihinde başlamış kabul edilir.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Yürürlük</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 xml:space="preserve">MADDE 13 – </w:t>
                  </w:r>
                  <w:r w:rsidRPr="00534CAC">
                    <w:rPr>
                      <w:sz w:val="18"/>
                      <w:szCs w:val="18"/>
                    </w:rPr>
                    <w:t>(1) Bu Tebliğ yayımı tarihinde yürürlüğe girer.</w:t>
                  </w:r>
                </w:p>
                <w:p w:rsidR="00534CAC" w:rsidRPr="00534CAC" w:rsidRDefault="00534CAC" w:rsidP="00534CAC">
                  <w:pPr>
                    <w:tabs>
                      <w:tab w:val="left" w:pos="566"/>
                    </w:tabs>
                    <w:spacing w:line="240" w:lineRule="exact"/>
                    <w:ind w:firstLine="566"/>
                    <w:jc w:val="both"/>
                    <w:rPr>
                      <w:b/>
                      <w:sz w:val="18"/>
                      <w:szCs w:val="18"/>
                    </w:rPr>
                  </w:pPr>
                  <w:r w:rsidRPr="00534CAC">
                    <w:rPr>
                      <w:b/>
                      <w:sz w:val="18"/>
                      <w:szCs w:val="18"/>
                    </w:rPr>
                    <w:t>Yürütme</w:t>
                  </w:r>
                </w:p>
                <w:p w:rsidR="00534CAC" w:rsidRPr="00534CAC" w:rsidRDefault="00534CAC" w:rsidP="00534CAC">
                  <w:pPr>
                    <w:tabs>
                      <w:tab w:val="left" w:pos="566"/>
                    </w:tabs>
                    <w:spacing w:line="240" w:lineRule="exact"/>
                    <w:ind w:firstLine="566"/>
                    <w:jc w:val="both"/>
                    <w:rPr>
                      <w:sz w:val="18"/>
                      <w:szCs w:val="18"/>
                    </w:rPr>
                  </w:pPr>
                  <w:r w:rsidRPr="00534CAC">
                    <w:rPr>
                      <w:b/>
                      <w:sz w:val="18"/>
                      <w:szCs w:val="18"/>
                    </w:rPr>
                    <w:t>MADDE 14 –</w:t>
                  </w:r>
                  <w:r w:rsidRPr="00534CAC">
                    <w:rPr>
                      <w:sz w:val="18"/>
                      <w:szCs w:val="18"/>
                    </w:rPr>
                    <w:t xml:space="preserve"> (1) Bu Tebliğ hükümlerini Ekonomi Bakanı yürütür.</w:t>
                  </w:r>
                </w:p>
                <w:p w:rsidR="00534CAC" w:rsidRPr="00534CAC" w:rsidRDefault="00534CAC" w:rsidP="00534CAC">
                  <w:pPr>
                    <w:tabs>
                      <w:tab w:val="left" w:pos="566"/>
                    </w:tabs>
                    <w:spacing w:line="240" w:lineRule="exact"/>
                    <w:jc w:val="center"/>
                    <w:rPr>
                      <w:b/>
                      <w:sz w:val="18"/>
                      <w:szCs w:val="18"/>
                      <w:lang w:val="en-GB"/>
                    </w:rPr>
                  </w:pPr>
                </w:p>
                <w:p w:rsidR="00534CAC" w:rsidRPr="00534CAC" w:rsidRDefault="00534CAC" w:rsidP="00534CAC">
                  <w:pPr>
                    <w:tabs>
                      <w:tab w:val="left" w:pos="566"/>
                    </w:tabs>
                    <w:spacing w:line="240" w:lineRule="exact"/>
                    <w:jc w:val="center"/>
                    <w:rPr>
                      <w:b/>
                      <w:sz w:val="18"/>
                      <w:szCs w:val="18"/>
                      <w:lang w:val="en-GB"/>
                    </w:rPr>
                  </w:pPr>
                </w:p>
                <w:p w:rsidR="00534CAC" w:rsidRPr="00534CAC" w:rsidRDefault="00534CAC" w:rsidP="00534CAC">
                  <w:pPr>
                    <w:tabs>
                      <w:tab w:val="left" w:pos="566"/>
                    </w:tabs>
                    <w:spacing w:line="240" w:lineRule="exact"/>
                    <w:rPr>
                      <w:b/>
                      <w:sz w:val="18"/>
                      <w:szCs w:val="18"/>
                      <w:lang w:val="en-GB"/>
                    </w:rPr>
                  </w:pPr>
                  <w:hyperlink r:id="rId4" w:history="1">
                    <w:proofErr w:type="spellStart"/>
                    <w:r w:rsidRPr="00534CAC">
                      <w:rPr>
                        <w:b/>
                        <w:color w:val="0000FF"/>
                        <w:sz w:val="18"/>
                        <w:lang w:val="en-GB"/>
                      </w:rPr>
                      <w:t>Eki</w:t>
                    </w:r>
                    <w:proofErr w:type="spellEnd"/>
                    <w:r w:rsidRPr="00534CAC">
                      <w:rPr>
                        <w:b/>
                        <w:color w:val="0000FF"/>
                        <w:sz w:val="18"/>
                        <w:lang w:val="en-GB"/>
                      </w:rPr>
                      <w:t xml:space="preserve"> </w:t>
                    </w:r>
                    <w:proofErr w:type="spellStart"/>
                    <w:r w:rsidRPr="00534CAC">
                      <w:rPr>
                        <w:b/>
                        <w:color w:val="0000FF"/>
                        <w:sz w:val="18"/>
                        <w:lang w:val="en-GB"/>
                      </w:rPr>
                      <w:t>için</w:t>
                    </w:r>
                    <w:proofErr w:type="spellEnd"/>
                    <w:r w:rsidRPr="00534CAC">
                      <w:rPr>
                        <w:b/>
                        <w:color w:val="0000FF"/>
                        <w:sz w:val="18"/>
                        <w:lang w:val="en-GB"/>
                      </w:rPr>
                      <w:t xml:space="preserve"> </w:t>
                    </w:r>
                    <w:proofErr w:type="spellStart"/>
                    <w:r w:rsidRPr="00534CAC">
                      <w:rPr>
                        <w:b/>
                        <w:color w:val="0000FF"/>
                        <w:sz w:val="18"/>
                        <w:lang w:val="en-GB"/>
                      </w:rPr>
                      <w:t>tıklayınız</w:t>
                    </w:r>
                    <w:proofErr w:type="spellEnd"/>
                    <w:r w:rsidRPr="00534CAC">
                      <w:rPr>
                        <w:b/>
                        <w:color w:val="0000FF"/>
                        <w:sz w:val="18"/>
                        <w:lang w:val="en-GB"/>
                      </w:rPr>
                      <w:t>.</w:t>
                    </w:r>
                  </w:hyperlink>
                </w:p>
                <w:p w:rsidR="00534CAC" w:rsidRPr="00534CAC" w:rsidRDefault="00534CAC" w:rsidP="00534CAC">
                  <w:pPr>
                    <w:spacing w:before="100" w:beforeAutospacing="1" w:after="100" w:afterAutospacing="1"/>
                    <w:jc w:val="center"/>
                    <w:rPr>
                      <w:rFonts w:ascii="Arial" w:hAnsi="Arial" w:cs="Arial"/>
                      <w:b/>
                      <w:color w:val="000080"/>
                      <w:sz w:val="18"/>
                      <w:szCs w:val="18"/>
                    </w:rPr>
                  </w:pPr>
                </w:p>
              </w:tc>
            </w:tr>
          </w:tbl>
          <w:p w:rsidR="00534CAC" w:rsidRPr="00534CAC" w:rsidRDefault="00534CAC" w:rsidP="00534CAC">
            <w:pPr>
              <w:jc w:val="center"/>
            </w:pPr>
          </w:p>
        </w:tc>
      </w:tr>
    </w:tbl>
    <w:p w:rsidR="00534CAC" w:rsidRPr="00534CAC" w:rsidRDefault="00534CAC" w:rsidP="00534CAC">
      <w:pPr>
        <w:spacing w:after="0" w:line="240" w:lineRule="auto"/>
        <w:jc w:val="center"/>
        <w:rPr>
          <w:rFonts w:ascii="Times New Roman" w:eastAsia="Times New Roman" w:hAnsi="Times New Roman" w:cs="Times New Roman"/>
          <w:sz w:val="24"/>
          <w:szCs w:val="24"/>
          <w:lang w:eastAsia="tr-TR"/>
        </w:rPr>
      </w:pPr>
    </w:p>
    <w:p w:rsidR="00493A70" w:rsidRDefault="00493A70"/>
    <w:sectPr w:rsidR="00493A70" w:rsidSect="00493A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4CAC"/>
    <w:rsid w:val="00493A70"/>
    <w:rsid w:val="00534C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4CAC"/>
    <w:rPr>
      <w:color w:val="0000FF"/>
      <w:u w:val="single"/>
    </w:rPr>
  </w:style>
  <w:style w:type="paragraph" w:styleId="NormalWeb">
    <w:name w:val="Normal (Web)"/>
    <w:basedOn w:val="Normal"/>
    <w:rsid w:val="00534C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534CAC"/>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534CAC"/>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rsid w:val="00534CAC"/>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table" w:customStyle="1" w:styleId="NormalTablo">
    <w:name w:val="Normal Tablo"/>
    <w:uiPriority w:val="99"/>
    <w:semiHidden/>
    <w:qFormat/>
    <w:rsid w:val="00534CAC"/>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6716019">
      <w:bodyDiv w:val="1"/>
      <w:marLeft w:val="0"/>
      <w:marRight w:val="0"/>
      <w:marTop w:val="0"/>
      <w:marBottom w:val="0"/>
      <w:divBdr>
        <w:top w:val="none" w:sz="0" w:space="0" w:color="auto"/>
        <w:left w:val="none" w:sz="0" w:space="0" w:color="auto"/>
        <w:bottom w:val="none" w:sz="0" w:space="0" w:color="auto"/>
        <w:right w:val="none" w:sz="0" w:space="0" w:color="auto"/>
      </w:divBdr>
      <w:divsChild>
        <w:div w:id="720137206">
          <w:marLeft w:val="0"/>
          <w:marRight w:val="0"/>
          <w:marTop w:val="0"/>
          <w:marBottom w:val="0"/>
          <w:divBdr>
            <w:top w:val="none" w:sz="0" w:space="0" w:color="auto"/>
            <w:left w:val="none" w:sz="0" w:space="0" w:color="auto"/>
            <w:bottom w:val="none" w:sz="0" w:space="0" w:color="auto"/>
            <w:right w:val="none" w:sz="0" w:space="0" w:color="auto"/>
          </w:divBdr>
          <w:divsChild>
            <w:div w:id="745107705">
              <w:marLeft w:val="0"/>
              <w:marRight w:val="0"/>
              <w:marTop w:val="0"/>
              <w:marBottom w:val="0"/>
              <w:divBdr>
                <w:top w:val="none" w:sz="0" w:space="0" w:color="auto"/>
                <w:left w:val="none" w:sz="0" w:space="0" w:color="auto"/>
                <w:bottom w:val="none" w:sz="0" w:space="0" w:color="auto"/>
                <w:right w:val="none" w:sz="0" w:space="0" w:color="auto"/>
              </w:divBdr>
              <w:divsChild>
                <w:div w:id="292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5/04/20150410-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dc:creator>
  <cp:lastModifiedBy>guls</cp:lastModifiedBy>
  <cp:revision>1</cp:revision>
  <dcterms:created xsi:type="dcterms:W3CDTF">2015-04-10T06:26:00Z</dcterms:created>
  <dcterms:modified xsi:type="dcterms:W3CDTF">2015-04-10T06:27:00Z</dcterms:modified>
</cp:coreProperties>
</file>