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877D81" w:rsidRPr="00877D81" w:rsidTr="00877D81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877D81" w:rsidRPr="00877D81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77D81" w:rsidRPr="00877D81" w:rsidRDefault="00877D81" w:rsidP="00877D8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877D8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27 Mart </w:t>
                  </w:r>
                  <w:proofErr w:type="gramStart"/>
                  <w:r w:rsidRPr="00877D8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PERŞEMBE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77D81" w:rsidRPr="00877D81" w:rsidRDefault="00877D81" w:rsidP="00877D8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877D81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77D81" w:rsidRPr="00877D81" w:rsidRDefault="00877D81" w:rsidP="00877D8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877D81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28954</w:t>
                  </w:r>
                  <w:proofErr w:type="gramEnd"/>
                </w:p>
              </w:tc>
            </w:tr>
            <w:tr w:rsidR="00877D81" w:rsidRPr="00877D8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877D81" w:rsidRPr="00877D81" w:rsidRDefault="00877D81" w:rsidP="00877D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877D81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877D81" w:rsidRPr="00877D8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Ekonomi Bakanl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877D81" w:rsidRPr="00877D81" w:rsidRDefault="00877D81" w:rsidP="00877D8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THALATTA HAKSIZ REKABET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NE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TEBL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</w:p>
                <w:p w:rsidR="00877D81" w:rsidRPr="00877D81" w:rsidRDefault="00877D81" w:rsidP="00877D81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2014/9)</w:t>
                  </w:r>
                </w:p>
                <w:p w:rsidR="00877D81" w:rsidRPr="00877D81" w:rsidRDefault="00877D81" w:rsidP="00877D8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77D81" w:rsidRPr="00877D81" w:rsidRDefault="00877D81" w:rsidP="00877D8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Genel Bilgi ve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Mevcut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ve 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Halk Cumhuriyeti (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HC)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naylon veya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poliamidlerden tek kat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biri 50 teksi ge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meyen tekst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iplikler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5/9/2008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26988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2008/31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CIF bedelinin % 37,40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dampinge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kesin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31/1/2013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28545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2013/2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5/9/2013 tarihinde sona erece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i,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(Y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mevzuatta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yeterli delillerle desteklenmi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 ile nihai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(NGGS)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talebinde bulunabilece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duyurulmu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Sifa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Sentetik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plik Fabrikalar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A.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taraf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 Alt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plik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orap San. A.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. ve Anadolu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plik ve Tekstil Fabrikalar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San. A.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 taraf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da desteklenen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 sonucunda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naylon veya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poliamidlerden tek kat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biri 50 teksi ge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meyen tekst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iplikler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26/7/2013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28719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2013/16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NGGS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Ekonomi Bakanl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(Bakanl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Genel 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(Genel 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taraf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tamamlanm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14/6/1989 tarihli ve 3577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Kanun, 20/10/1999 tarihli ve 99/13482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Rekabetin 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Bakanlar Kurulu Karar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(Karar) ve 30/10/1999 tarihli ve 23861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Rekabetin 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Hakk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(Y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netmelik) h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NGGS sonu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temsil niteli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incelemede,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 nci maddesi uyar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vurunun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 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ve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reticilerin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 etti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anla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taraflar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bilgilendirilmesi, bilgilerin toplanmas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de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tespit edilen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 bilinen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ve ayr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 yerle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iletilebilmesini sa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amac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Ankara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ilgili soru formlar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vurunun gizli olmayan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 ve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ula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bildirim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proofErr w:type="gramEnd"/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Taraflara soru formunu yan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posta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resi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37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 taraflar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uzat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makul talepleri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Bakanl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ile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gerekti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talep edilen ilave bilgileri temin etmi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Kendilerine bildirim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cevap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Kendilerine bildirim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retici/ihracat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firmalardan herhangi bir cevap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Ayr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ilgili taraflardan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bilgi ve belgelerin gizli olmayan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zetleri talep eden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taraflar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bilgisine sunulmak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haz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tutulmu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25 inci maddesi uyar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sonucundaki belirlemelere esas 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eden bilgi, belge ve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erlendirmeleri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nihai bildirim,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bulunan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ve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resmi temsilcili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iletilmi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erlendirmelerini iletmeleri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makul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13/2/2014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nihai bildirime, ilgili taraflar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birinden cevap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Taraflar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boyunca ortaya koydu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bilgi, belge ve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mezk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û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lerden mevzuat kapsam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erlendirilebilecek olanlara bu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Yerinde do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rulama 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turmas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21 inci maddesi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Sifa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Sentetik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plik Fabrikalar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A.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.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Bursa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bulunan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tesisi ile idari merkezinde yerinde do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rulama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zden ge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irme d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nemi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dampingin ve zarar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gelmesinin muhtemel olup olmad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tespiti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1/1/2010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-31/12/2012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olarak belirlenmi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77D81" w:rsidRPr="00877D81" w:rsidRDefault="00877D81" w:rsidP="00877D81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 Benzer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 benzer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5402.31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Pozisyonu (GTP) alt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naylon veya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poliamidlerden tek kat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biri 50 teksi ge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meyen tekst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iplikler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naylon iplikler petrolden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kaprolaktam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polimerizasyonu sonucunda elde edilen bir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olup; ince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oraplar, korse, bayan elbiseleri,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mlek, bluz, spor giysi, astarl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retimleri ile diki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fantezi kuma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imalat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olarak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 taraf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retilen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eli naylon (polyamid) ipliklerin benzer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tespiti esas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ise, gerek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 taraf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gerekse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naylon (polyamid) ipliklerin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levsel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zellikleri, fiziksel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alanlar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birbirini ikame edebilmeleri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iki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benzer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 durumunu ortadan kald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bir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dair bir tespitte bulunulmam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ile ilgili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klamalar genel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erikli olup, uygulamaya esas olan GTP ve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tan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Bununla beraber,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Cetveli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tarife pozisyonunda ve/veya tan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 bu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halel getirmez.</w:t>
                  </w:r>
                </w:p>
                <w:p w:rsidR="00877D81" w:rsidRPr="00877D81" w:rsidRDefault="00877D81" w:rsidP="00877D8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77D81" w:rsidRPr="00877D81" w:rsidRDefault="00877D81" w:rsidP="00877D81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Varl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Devam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varl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devam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MADDE 8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devam edip etmedi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kapsam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yeni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hesaplanmam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esas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hesaplanm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damping 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olarak dikkate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77D81" w:rsidRPr="00877D81" w:rsidRDefault="00877D81" w:rsidP="00877D8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Maddi Zarar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Varl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Devam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nemde,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deki zarar durumu ve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zarara etki edebilecek muhtemel geli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 Bu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evede,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lkeden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 ve pazar paylar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imi,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piyasa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etkisi,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stergelerindeki geli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ve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unsurlar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analizinde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rkiye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statistik Kurumu (T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verileri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 verileri incelenirken 2010-2012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dikkate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ilime bakmak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2010-2012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konu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genel ithalat verileri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Bu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14.917.996 Kg olan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11.347.689 Kg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14.225.961 Kg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olarak bak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80.151.648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ithalat,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68.720.300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seviyesine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76.441.161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ortalama birim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ise, 2010-2012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kapsayan 3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 birim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6,62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/Kg, 4,69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ve 5,84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/Kg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lkeden ithalat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birim fiyat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1.516.415 Kg,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1.123.014 Kg,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854.555 Kg seviyesinde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2010, 2011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4,24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/Kg, 4,92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ve 4,86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/Kg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ortalama birim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zden ge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 boyunca alt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seyretti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toplam ithalat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miktar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%10,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%9,9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%6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konusu ithalat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pazar pay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konusu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nispi olarak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imini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rebilmek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toplam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rkiye benzer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Bu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lamda,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ncelikle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ikayet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firma,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ikayete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destek veren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 ve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konusu 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bilinen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reticilerinin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genel ithalat miktar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toplanarak ilgili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lda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rkiye benzer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tahmini olarak bulunmu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benzer mal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olarak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87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96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toplam pazar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endeks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86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59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haricindeki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lkelerin pazar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 ise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olarak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104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kselirken,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88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nlem konusu ithalat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yerli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piyasa fiyatlar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zerindeki etkisi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etkisini analiz etmek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fiyat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fiyat bask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hesaplar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Fiyat bask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dampingli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ithalat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piyasas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 olarak ne kadar alt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sterir. Fiyat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ithal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piyasas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reticinin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 olarak ne kadar alt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ticari maliyetine makul bir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eklenmek suretiyle bulunmu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tur.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giri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istatistiklerinden elde edilen ortalama CIF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%4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vergisi ve %2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masraflar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eklenerek bulunmu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 Dampinge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olmad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ortamda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hangi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 olaca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erlendirmeyi 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amac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fiyatlara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 eklenmemi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lamda,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hesaplanan fiyat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CIF ihra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zdesi olarak 2010, 2011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%9, %5 ve %1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hesaplanan fiyat bask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ise, CIF ihra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zdesi olarak 2010, 2011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%23, %27 ve %12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Yerli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ekonomik g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stergeleri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etkisinin belirlenmesi bak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stergelerinin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erlendirilmesinde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(Sifa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Sentetik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plik Fabrikalar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A.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.) ve Suni ve Sentetik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plik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reticileri Birli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(SUSEB)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elde edilen veriler esas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ilimin sa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incelenmesi amac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veriler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ortalama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retici Fiyat Endeksi (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FE)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enflasyondan 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reel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verileri 100 birime sabitlenerek takip eden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verileri buna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endekslenmi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retim, kapasite ve kapasite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(KKO)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naylon (polyamid) iplikler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100 olan kilogram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bazl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miktar endeksi,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104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86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kapasite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104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86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ve ihracat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endeksi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96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72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endeksi,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168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182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ihracat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fiyatlar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113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108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yurt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birim fiyat endeksi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117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112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Pazar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pazar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2011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75 ve 111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Verimlilik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verimlilik endeksi,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105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kselirken,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91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Stoklar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kilogram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stok endeksi,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156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stok endeksiyse yine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iken,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146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ya,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ise 161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Stok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evrim h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 ise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kabul edildi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84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ise 52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stihdam ve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99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94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Yine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100 olarak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idari personel endeksi de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94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89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ilerinin ayl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endeksi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98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116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123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tir.   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Maliyetler ve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ticari maliyet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endeksi,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120,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87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toplam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endeksi,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194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71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Nakit ak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olan nakit ak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endeksi,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137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deyse 72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 ile ilgili olarak aktif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2010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100 iken, 2011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98 ve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115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mlardaki art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inceleme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neminde 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harcamas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bulunmamaktad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Sermaye veya 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yetene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sermayesi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100 iken,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90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-7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gerilemi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2010-2012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yenileme ve tevsi 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bulunmamaktad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geri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Yerli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dal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r/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zkaynak)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pozitif iken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negatife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tekrar pozitif olmu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Ekonomik g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stergelerin de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erlendirilmesi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ekonomik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stergeleri incelendi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2010 ve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nispeten iyi seyreden ekonomik durumunun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oranla art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kaydeden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miktar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kapasite kullan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yurt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lardan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toplam karl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verimlilik gibi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stergelerinde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gelindi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h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zlemlenmektedir.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Ayr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stoklar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ve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artm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buna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stok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evrim h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olumsuz bir seyir izlemi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77D81" w:rsidRPr="00877D81" w:rsidRDefault="00877D81" w:rsidP="00877D81">
                  <w:pPr>
                    <w:spacing w:after="56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Dampingin ve Zarar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Devam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veya Yeniden Olu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htimali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a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klamalar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35 inci maddesi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etmesinin veya yeniden meydana gelmesinin muhtemel olup olmad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turmaya konu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lkedeki yerle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ik kapasite ve ihracat potansiyeli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turmaya konu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 olan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kapasitesi ile ilgili olarak, iplik imalat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gelen firmalar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Lenzing taraf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rlanan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Fiber Year 2012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raporundan elde edilen verilere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 genelinde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oranla naylon iplik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retiminde bir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zlemlenmektedir. Bu durumun aksine,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1.101.000 Ton olan 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mal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retimi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1.150.000 Tona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Ayn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raporda ayr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genel olarak tekstil ve giyim alan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bir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oranla %23 civar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artt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Bununla beraber, International Trade Center (Uluslararas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Ticaret Merkezi-UTM)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den elde edilen ve ilgili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lkeye ait ihracat verilerini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eren istatistikler bahse konu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ndeki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kapasitesine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sterge 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etti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inden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UTM verilerine miktar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ise,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nyaya 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25.000 Ton iken,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bir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% 0,76 art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25.191 Ton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ise bir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 oranla % 3,15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lik bir azalmayla 24.397 Ton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UTM verilerine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nyaya 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101.927.000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131.867.000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ndaysa 119.543.000 ABD Dolar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Bu verilere ilaveten,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bahse konu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nyada 2 nci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yer ald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2008-2012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nemde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nyaya olan 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miktar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%12 oran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artt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nlendirebilecek ciddi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kapasitesinin ve ihracat kabiliyetinin bulundu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bu kapasitenin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nlendirilmesinin ve bunun sonucunda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zarar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yeniden meydana gelmesinin muhtemel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erlendirilmektedir.</w:t>
                  </w:r>
                  <w:proofErr w:type="gramEnd"/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Talebi etkileyen unsurlar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kalitesi ve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itliliklerin yan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talebi etkileyen ba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unsurun fiyat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sekt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rden edinilen bilgilerden anla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lmaktad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de bu konuda avantajl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genel ithalat istatistikleri incelendi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lmektedir; zira 2010-2012 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nemde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naylon polyamid iplik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HC haricindeki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ortalama birim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seyretmektedir.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Esas soru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damping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marjlar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ndeki mevcut dampinge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hukuki ve idari altyap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kil eden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ilgili taraflardan elde edilen bilgi ve belgeler temelinde tespit edilen damping 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 Esas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uygulanmad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ortamda ihracat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firmalar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davran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yapmalar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muhtemel olan dampingi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stermesi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ta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maktad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Buna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esas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turmada tespit edilen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CIF ihra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%51,72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si olarak hesaplanm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lkelerden ithalat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2010-2012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bir 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lke haricindeki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ili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olarak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HC haricindeki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lkelerden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miktar baz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pay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2010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%89,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%90 ve 2012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%94 olarak ger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erlendirme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Yap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inceleme sonucunda; uygulanmakta olan dampinge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nlemin sona ermesi halinde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 edip etmeyece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veya yeniden meydana gelmesinin muhtemel olup olmad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konusu incelenmi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yukar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bilgiler dikkate al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esas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turmada hesaplanan damping marj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ciddi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zeyde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lkeden ithalat her ne kadar azalsa da, bu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birim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genel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ortalama birim fiyat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2011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u,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nleme tabi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lkenin b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kapasitesi ve ihracat kabiliyetine sahip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u, mevcut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ortadan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bu kapasiteyi 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pazar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nlendirebilece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zarar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gelece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erlendirilmektedir. </w:t>
                  </w:r>
                </w:p>
                <w:p w:rsidR="00877D81" w:rsidRPr="00877D81" w:rsidRDefault="00877D81" w:rsidP="00877D8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77D81" w:rsidRPr="00877D81" w:rsidRDefault="00877D81" w:rsidP="00877D81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Sonu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Karar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sonucunda, meri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kalkmas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dampingin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zarar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devam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yeniden meydana gelmesinin muhtemel oldu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tespit edildi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thalatta Haks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Rekabeti De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Kurulunun karar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Ekonomi Bakan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soru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turma konusu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uygulanmakta olan dampinge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nlemin 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belirtilen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aynen uygulanmaya devam edilmesine karar verilmi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1"/>
                    <w:gridCol w:w="3011"/>
                    <w:gridCol w:w="1400"/>
                    <w:gridCol w:w="2233"/>
                  </w:tblGrid>
                  <w:tr w:rsidR="00877D81" w:rsidRPr="00877D81">
                    <w:trPr>
                      <w:trHeight w:val="20"/>
                      <w:jc w:val="center"/>
                    </w:trPr>
                    <w:tc>
                      <w:tcPr>
                        <w:tcW w:w="20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keepNext/>
                          <w:spacing w:after="0" w:line="20" w:lineRule="atLeast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32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keepNext/>
                          <w:spacing w:after="0" w:line="20" w:lineRule="atLeast"/>
                          <w:ind w:left="-1134" w:firstLine="1134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Eşyanın Tanımı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keepNext/>
                          <w:spacing w:after="0" w:line="20" w:lineRule="atLeast"/>
                          <w:ind w:left="-1134" w:firstLine="1134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Menşe Ülke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Dampinge Karşı </w:t>
                        </w:r>
                      </w:p>
                      <w:p w:rsidR="00877D81" w:rsidRPr="00877D81" w:rsidRDefault="00877D81" w:rsidP="00877D8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Önlem Oranı</w:t>
                        </w:r>
                        <w:r w:rsidRPr="00877D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br/>
                          <w:t>(CIF Bedelin %’si)</w:t>
                        </w:r>
                      </w:p>
                    </w:tc>
                  </w:tr>
                  <w:tr w:rsidR="00877D81" w:rsidRPr="00877D81">
                    <w:trPr>
                      <w:trHeight w:val="20"/>
                      <w:jc w:val="center"/>
                    </w:trPr>
                    <w:tc>
                      <w:tcPr>
                        <w:tcW w:w="20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5402.31</w:t>
                        </w:r>
                      </w:p>
                    </w:tc>
                    <w:tc>
                      <w:tcPr>
                        <w:tcW w:w="32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keepNext/>
                          <w:spacing w:after="0" w:line="20" w:lineRule="atLeast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Naylon veya diğer poliamidlerden tek katının her biri 50 teksi geçmeyen tekstüre iplikler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keepNext/>
                          <w:spacing w:after="0" w:line="20" w:lineRule="atLeast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Çin Halk Cumhuriyeti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77D81" w:rsidRPr="00877D81" w:rsidRDefault="00877D81" w:rsidP="00877D8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877D81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 37,40</w:t>
                        </w:r>
                      </w:p>
                    </w:tc>
                  </w:tr>
                </w:tbl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Uygulama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idareleri, Karar maddesinde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tarife pozisyon numaras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men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lkesi belirtilen e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ithalat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sterilen tutarlarda </w:t>
                  </w:r>
                  <w:proofErr w:type="gramStart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dampinge</w:t>
                  </w:r>
                  <w:proofErr w:type="gramEnd"/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kesin 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nlemi tahsil ederler.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877D81" w:rsidRPr="00877D81" w:rsidRDefault="00877D81" w:rsidP="00877D8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877D81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Ekonomi Bakan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77D81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77D81" w:rsidRPr="00877D81" w:rsidRDefault="00877D81" w:rsidP="00877D8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877D81" w:rsidRPr="00877D81" w:rsidRDefault="00877D81" w:rsidP="0087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77D81" w:rsidRPr="00877D81" w:rsidRDefault="00877D81" w:rsidP="0087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081C" w:rsidRDefault="0078081C"/>
    <w:sectPr w:rsidR="0078081C" w:rsidSect="007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A2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77D81"/>
    <w:rsid w:val="0041397C"/>
    <w:rsid w:val="007330D5"/>
    <w:rsid w:val="0078081C"/>
    <w:rsid w:val="00861F2B"/>
    <w:rsid w:val="00877D81"/>
    <w:rsid w:val="00E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877D81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877D81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877D81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3142</Words>
  <Characters>17913</Characters>
  <Application>Microsoft Office Word</Application>
  <DocSecurity>0</DocSecurity>
  <Lines>149</Lines>
  <Paragraphs>42</Paragraphs>
  <ScaleCrop>false</ScaleCrop>
  <Company>itkib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Şendil</dc:creator>
  <cp:keywords/>
  <dc:description/>
  <cp:lastModifiedBy>Gül Şendil</cp:lastModifiedBy>
  <cp:revision>1</cp:revision>
  <dcterms:created xsi:type="dcterms:W3CDTF">2014-03-27T07:17:00Z</dcterms:created>
  <dcterms:modified xsi:type="dcterms:W3CDTF">2014-03-27T07:19:00Z</dcterms:modified>
</cp:coreProperties>
</file>